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FFC" w:rsidRPr="00E41BA9" w:rsidRDefault="00E02FFC" w:rsidP="003E7259">
      <w:pPr>
        <w:pBdr>
          <w:top w:val="double" w:sz="12" w:space="1" w:color="auto"/>
          <w:left w:val="double" w:sz="12" w:space="1" w:color="auto"/>
          <w:bottom w:val="double" w:sz="12" w:space="1" w:color="auto"/>
          <w:right w:val="double" w:sz="12" w:space="1" w:color="auto"/>
        </w:pBdr>
        <w:shd w:val="pct20" w:color="auto" w:fill="auto"/>
        <w:rPr>
          <w:b/>
          <w:bCs/>
        </w:rPr>
      </w:pPr>
    </w:p>
    <w:p w:rsidR="00E02FFC" w:rsidRPr="00E41BA9" w:rsidRDefault="00E02FFC" w:rsidP="003E7259">
      <w:pPr>
        <w:pBdr>
          <w:top w:val="double" w:sz="12" w:space="1" w:color="auto"/>
          <w:left w:val="double" w:sz="12" w:space="1" w:color="auto"/>
          <w:bottom w:val="double" w:sz="12" w:space="1" w:color="auto"/>
          <w:right w:val="double" w:sz="12" w:space="1" w:color="auto"/>
        </w:pBdr>
        <w:shd w:val="pct20" w:color="auto" w:fill="auto"/>
        <w:rPr>
          <w:b/>
          <w:bCs/>
        </w:rPr>
      </w:pPr>
      <w:r w:rsidRPr="00E41BA9">
        <w:rPr>
          <w:b/>
          <w:bCs/>
        </w:rPr>
        <w:t>TELFORD &amp; WREKIN COUNCIL</w:t>
      </w:r>
    </w:p>
    <w:p w:rsidR="00E02FFC" w:rsidRDefault="00E02FFC" w:rsidP="003E7259">
      <w:pPr>
        <w:pBdr>
          <w:top w:val="double" w:sz="12" w:space="1" w:color="auto"/>
          <w:left w:val="double" w:sz="12" w:space="1" w:color="auto"/>
          <w:bottom w:val="double" w:sz="12" w:space="1" w:color="auto"/>
          <w:right w:val="double" w:sz="12" w:space="1" w:color="auto"/>
        </w:pBdr>
        <w:shd w:val="pct20" w:color="auto" w:fill="auto"/>
        <w:rPr>
          <w:b/>
          <w:bCs/>
          <w:sz w:val="22"/>
          <w:szCs w:val="22"/>
        </w:rPr>
      </w:pPr>
    </w:p>
    <w:p w:rsidR="00E02FFC" w:rsidRPr="00FF7F4C" w:rsidRDefault="00E02FFC" w:rsidP="003E7259">
      <w:pPr>
        <w:pBdr>
          <w:top w:val="double" w:sz="12" w:space="1" w:color="auto"/>
          <w:left w:val="double" w:sz="12" w:space="1" w:color="auto"/>
          <w:bottom w:val="double" w:sz="12" w:space="1" w:color="auto"/>
          <w:right w:val="double" w:sz="12" w:space="1" w:color="auto"/>
        </w:pBdr>
        <w:shd w:val="pct20" w:color="auto" w:fill="auto"/>
        <w:rPr>
          <w:b/>
          <w:bCs/>
        </w:rPr>
      </w:pPr>
      <w:r>
        <w:rPr>
          <w:b/>
          <w:bCs/>
        </w:rPr>
        <w:t>CABINET – 9</w:t>
      </w:r>
      <w:r w:rsidRPr="00256907">
        <w:rPr>
          <w:b/>
          <w:bCs/>
          <w:vertAlign w:val="superscript"/>
        </w:rPr>
        <w:t>th</w:t>
      </w:r>
      <w:r>
        <w:rPr>
          <w:b/>
          <w:bCs/>
        </w:rPr>
        <w:t xml:space="preserve"> JUNE 2009</w:t>
      </w:r>
      <w:r w:rsidRPr="00FF7F4C">
        <w:rPr>
          <w:b/>
          <w:bCs/>
        </w:rPr>
        <w:t xml:space="preserve"> </w:t>
      </w:r>
    </w:p>
    <w:p w:rsidR="00E02FFC" w:rsidRPr="00FF7F4C" w:rsidRDefault="00E02FFC" w:rsidP="003E7259">
      <w:pPr>
        <w:pBdr>
          <w:top w:val="double" w:sz="12" w:space="1" w:color="auto"/>
          <w:left w:val="double" w:sz="12" w:space="1" w:color="auto"/>
          <w:bottom w:val="double" w:sz="12" w:space="1" w:color="auto"/>
          <w:right w:val="double" w:sz="12" w:space="1" w:color="auto"/>
        </w:pBdr>
        <w:shd w:val="pct20" w:color="auto" w:fill="auto"/>
        <w:rPr>
          <w:b/>
          <w:bCs/>
        </w:rPr>
      </w:pPr>
    </w:p>
    <w:p w:rsidR="00E02FFC" w:rsidRPr="00E41BA9" w:rsidRDefault="00E02FFC" w:rsidP="003E7259">
      <w:pPr>
        <w:pBdr>
          <w:top w:val="double" w:sz="12" w:space="1" w:color="auto"/>
          <w:left w:val="double" w:sz="12" w:space="1" w:color="auto"/>
          <w:bottom w:val="double" w:sz="12" w:space="1" w:color="auto"/>
          <w:right w:val="double" w:sz="12" w:space="1" w:color="auto"/>
        </w:pBdr>
        <w:shd w:val="pct20" w:color="auto" w:fill="auto"/>
        <w:rPr>
          <w:b/>
          <w:bCs/>
        </w:rPr>
      </w:pPr>
      <w:r>
        <w:rPr>
          <w:b/>
          <w:bCs/>
        </w:rPr>
        <w:t>TECHNICAL STRATEGY &amp; INVESTMENT PROGRAMME</w:t>
      </w:r>
    </w:p>
    <w:p w:rsidR="00E02FFC" w:rsidRPr="00E41BA9" w:rsidRDefault="00E02FFC" w:rsidP="003E7259">
      <w:pPr>
        <w:pBdr>
          <w:top w:val="double" w:sz="12" w:space="1" w:color="auto"/>
          <w:left w:val="double" w:sz="12" w:space="1" w:color="auto"/>
          <w:bottom w:val="double" w:sz="12" w:space="1" w:color="auto"/>
          <w:right w:val="double" w:sz="12" w:space="1" w:color="auto"/>
        </w:pBdr>
        <w:shd w:val="pct20" w:color="auto" w:fill="auto"/>
        <w:rPr>
          <w:b/>
          <w:bCs/>
        </w:rPr>
      </w:pPr>
    </w:p>
    <w:p w:rsidR="00E02FFC" w:rsidRDefault="00E02FFC" w:rsidP="003E7259">
      <w:pPr>
        <w:pBdr>
          <w:top w:val="double" w:sz="12" w:space="1" w:color="auto"/>
          <w:left w:val="double" w:sz="12" w:space="1" w:color="auto"/>
          <w:bottom w:val="double" w:sz="12" w:space="1" w:color="auto"/>
          <w:right w:val="double" w:sz="12" w:space="1" w:color="auto"/>
        </w:pBdr>
        <w:shd w:val="pct20" w:color="auto" w:fill="auto"/>
        <w:rPr>
          <w:b/>
          <w:bCs/>
        </w:rPr>
      </w:pPr>
      <w:r w:rsidRPr="00E41BA9">
        <w:rPr>
          <w:b/>
          <w:bCs/>
        </w:rPr>
        <w:t>REPORT</w:t>
      </w:r>
      <w:r>
        <w:rPr>
          <w:b/>
          <w:bCs/>
        </w:rPr>
        <w:t xml:space="preserve"> OF THE HEAD OF ICT </w:t>
      </w:r>
    </w:p>
    <w:p w:rsidR="00E02FFC" w:rsidRPr="00E41BA9" w:rsidRDefault="00E02FFC" w:rsidP="003E7259">
      <w:pPr>
        <w:pBdr>
          <w:top w:val="double" w:sz="12" w:space="1" w:color="auto"/>
          <w:left w:val="double" w:sz="12" w:space="1" w:color="auto"/>
          <w:bottom w:val="double" w:sz="12" w:space="1" w:color="auto"/>
          <w:right w:val="double" w:sz="12" w:space="1" w:color="auto"/>
        </w:pBdr>
        <w:shd w:val="pct20" w:color="auto" w:fill="auto"/>
        <w:rPr>
          <w:b/>
          <w:bCs/>
        </w:rPr>
      </w:pPr>
    </w:p>
    <w:p w:rsidR="00E02FFC" w:rsidRDefault="00E02FFC" w:rsidP="00C43FC4"/>
    <w:p w:rsidR="00E02FFC" w:rsidRPr="00E41BA9" w:rsidRDefault="00E02FFC" w:rsidP="00C43FC4"/>
    <w:p w:rsidR="00E02FFC" w:rsidRPr="00E41BA9" w:rsidRDefault="00E02FFC" w:rsidP="00C43FC4">
      <w:pPr>
        <w:tabs>
          <w:tab w:val="left" w:pos="720"/>
        </w:tabs>
        <w:ind w:left="720" w:hanging="720"/>
      </w:pPr>
      <w:r w:rsidRPr="00E41BA9">
        <w:rPr>
          <w:b/>
          <w:bCs/>
        </w:rPr>
        <w:t>1.0</w:t>
      </w:r>
      <w:r w:rsidRPr="00E41BA9">
        <w:rPr>
          <w:b/>
          <w:bCs/>
        </w:rPr>
        <w:tab/>
      </w:r>
      <w:r w:rsidRPr="00E41BA9">
        <w:rPr>
          <w:b/>
          <w:bCs/>
          <w:u w:val="single"/>
        </w:rPr>
        <w:t>P</w:t>
      </w:r>
      <w:r>
        <w:rPr>
          <w:b/>
          <w:bCs/>
          <w:u w:val="single"/>
        </w:rPr>
        <w:t>URPOSE</w:t>
      </w:r>
    </w:p>
    <w:p w:rsidR="00E02FFC" w:rsidRPr="00E41BA9" w:rsidRDefault="00E02FFC" w:rsidP="00C43FC4">
      <w:pPr>
        <w:tabs>
          <w:tab w:val="left" w:pos="720"/>
        </w:tabs>
        <w:ind w:left="720" w:hanging="720"/>
      </w:pPr>
    </w:p>
    <w:p w:rsidR="00E02FFC" w:rsidRPr="00E41BA9" w:rsidRDefault="00E02FFC" w:rsidP="0007053C">
      <w:pPr>
        <w:ind w:left="720" w:hanging="720"/>
        <w:jc w:val="both"/>
      </w:pPr>
      <w:r>
        <w:t>1.1</w:t>
      </w:r>
      <w:r>
        <w:tab/>
        <w:t>To provide Members</w:t>
      </w:r>
      <w:r w:rsidRPr="00E41BA9">
        <w:t xml:space="preserve"> with an update of the </w:t>
      </w:r>
      <w:r>
        <w:t>councils ICT Technical Strategy and planned investment programme for 2009-2011.</w:t>
      </w:r>
    </w:p>
    <w:p w:rsidR="00E02FFC" w:rsidRPr="00E41BA9" w:rsidRDefault="00E02FFC" w:rsidP="00C43FC4"/>
    <w:p w:rsidR="00E02FFC" w:rsidRPr="00E41BA9" w:rsidRDefault="00E02FFC" w:rsidP="00C43FC4">
      <w:pPr>
        <w:pStyle w:val="Header"/>
        <w:tabs>
          <w:tab w:val="clear" w:pos="4153"/>
          <w:tab w:val="clear" w:pos="8306"/>
          <w:tab w:val="left" w:pos="720"/>
        </w:tabs>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785"/>
      </w:tblGrid>
      <w:tr w:rsidR="00E02FFC" w:rsidRPr="00E41BA9">
        <w:tc>
          <w:tcPr>
            <w:tcW w:w="9785" w:type="dxa"/>
          </w:tcPr>
          <w:p w:rsidR="00E02FFC" w:rsidRDefault="00E02FFC" w:rsidP="00195AEB">
            <w:pPr>
              <w:ind w:left="645"/>
              <w:rPr>
                <w:b/>
                <w:bCs/>
                <w:u w:val="single"/>
              </w:rPr>
            </w:pPr>
          </w:p>
          <w:p w:rsidR="00E02FFC" w:rsidRPr="00E41BA9" w:rsidRDefault="00E02FFC" w:rsidP="00C43FC4">
            <w:pPr>
              <w:numPr>
                <w:ilvl w:val="0"/>
                <w:numId w:val="29"/>
              </w:numPr>
              <w:rPr>
                <w:b/>
                <w:bCs/>
                <w:u w:val="single"/>
              </w:rPr>
            </w:pPr>
            <w:r w:rsidRPr="00E41BA9">
              <w:rPr>
                <w:b/>
                <w:bCs/>
                <w:u w:val="single"/>
              </w:rPr>
              <w:t>RECOMMENDATIONS</w:t>
            </w:r>
          </w:p>
          <w:p w:rsidR="00E02FFC" w:rsidRPr="00E41BA9" w:rsidRDefault="00E02FFC" w:rsidP="00A8519B">
            <w:pPr>
              <w:rPr>
                <w:b/>
                <w:bCs/>
              </w:rPr>
            </w:pPr>
          </w:p>
          <w:p w:rsidR="00E02FFC" w:rsidRPr="00B0263A" w:rsidRDefault="00E02FFC" w:rsidP="00256907">
            <w:pPr>
              <w:numPr>
                <w:ilvl w:val="1"/>
                <w:numId w:val="28"/>
              </w:numPr>
              <w:tabs>
                <w:tab w:val="clear" w:pos="360"/>
              </w:tabs>
              <w:ind w:left="640" w:hanging="640"/>
              <w:jc w:val="both"/>
              <w:rPr>
                <w:b/>
                <w:bCs/>
              </w:rPr>
            </w:pPr>
            <w:r w:rsidRPr="00B0263A">
              <w:rPr>
                <w:b/>
                <w:bCs/>
              </w:rPr>
              <w:t>That the technical strategy at Appendix A is approved by Cabinet.</w:t>
            </w:r>
          </w:p>
          <w:p w:rsidR="00E02FFC" w:rsidRPr="00B0263A" w:rsidRDefault="00E02FFC" w:rsidP="003D1332">
            <w:pPr>
              <w:ind w:left="640"/>
              <w:jc w:val="both"/>
              <w:rPr>
                <w:b/>
                <w:bCs/>
              </w:rPr>
            </w:pPr>
          </w:p>
          <w:p w:rsidR="00E02FFC" w:rsidRPr="00B0263A" w:rsidRDefault="00E02FFC" w:rsidP="00256907">
            <w:pPr>
              <w:numPr>
                <w:ilvl w:val="1"/>
                <w:numId w:val="28"/>
              </w:numPr>
              <w:tabs>
                <w:tab w:val="clear" w:pos="360"/>
              </w:tabs>
              <w:ind w:left="640" w:hanging="640"/>
              <w:jc w:val="both"/>
              <w:rPr>
                <w:b/>
                <w:bCs/>
              </w:rPr>
            </w:pPr>
            <w:r w:rsidRPr="00B0263A">
              <w:rPr>
                <w:b/>
                <w:bCs/>
              </w:rPr>
              <w:t xml:space="preserve">That the investment programme as detailed below and within the ICT Technical Strategy action plan be approved and funded from existing ICT reserves. </w:t>
            </w:r>
          </w:p>
          <w:p w:rsidR="00E02FFC" w:rsidRPr="00E41BA9" w:rsidRDefault="00E02FFC" w:rsidP="00B93ED4">
            <w:pPr>
              <w:ind w:left="640"/>
              <w:rPr>
                <w:b/>
                <w:bCs/>
              </w:rPr>
            </w:pPr>
          </w:p>
        </w:tc>
      </w:tr>
    </w:tbl>
    <w:p w:rsidR="00E02FFC" w:rsidRPr="00E41BA9" w:rsidRDefault="00E02FFC" w:rsidP="00C43FC4">
      <w:pPr>
        <w:pStyle w:val="Header"/>
        <w:tabs>
          <w:tab w:val="clear" w:pos="4153"/>
          <w:tab w:val="clear" w:pos="8306"/>
          <w:tab w:val="left" w:pos="720"/>
        </w:tabs>
      </w:pPr>
    </w:p>
    <w:tbl>
      <w:tblPr>
        <w:tblW w:w="0" w:type="auto"/>
        <w:tblInd w:w="-106" w:type="dxa"/>
        <w:tblLook w:val="00A0"/>
      </w:tblPr>
      <w:tblGrid>
        <w:gridCol w:w="706"/>
        <w:gridCol w:w="7838"/>
        <w:gridCol w:w="1392"/>
      </w:tblGrid>
      <w:tr w:rsidR="00E02FFC" w:rsidRPr="00E41BA9">
        <w:tc>
          <w:tcPr>
            <w:tcW w:w="706" w:type="dxa"/>
          </w:tcPr>
          <w:p w:rsidR="00E02FFC" w:rsidRPr="00E41BA9" w:rsidRDefault="00E02FFC" w:rsidP="00A8519B">
            <w:pPr>
              <w:tabs>
                <w:tab w:val="left" w:pos="720"/>
              </w:tabs>
              <w:rPr>
                <w:b/>
                <w:bCs/>
              </w:rPr>
            </w:pPr>
            <w:r w:rsidRPr="00E41BA9">
              <w:rPr>
                <w:b/>
                <w:bCs/>
              </w:rPr>
              <w:t>3.0</w:t>
            </w:r>
          </w:p>
        </w:tc>
        <w:tc>
          <w:tcPr>
            <w:tcW w:w="9230" w:type="dxa"/>
            <w:gridSpan w:val="2"/>
          </w:tcPr>
          <w:p w:rsidR="00E02FFC" w:rsidRPr="0019365A" w:rsidRDefault="00E02FFC" w:rsidP="00195AEB">
            <w:pPr>
              <w:tabs>
                <w:tab w:val="left" w:pos="720"/>
              </w:tabs>
              <w:rPr>
                <w:b/>
                <w:bCs/>
                <w:u w:val="single"/>
              </w:rPr>
            </w:pPr>
            <w:r w:rsidRPr="0019365A">
              <w:rPr>
                <w:b/>
                <w:bCs/>
                <w:u w:val="single"/>
              </w:rPr>
              <w:t>SUMMARY</w:t>
            </w: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A8519B">
            <w:pPr>
              <w:tabs>
                <w:tab w:val="left" w:pos="720"/>
              </w:tabs>
            </w:pPr>
          </w:p>
        </w:tc>
      </w:tr>
      <w:tr w:rsidR="00E02FFC" w:rsidRPr="00E41BA9">
        <w:tc>
          <w:tcPr>
            <w:tcW w:w="706" w:type="dxa"/>
          </w:tcPr>
          <w:p w:rsidR="00E02FFC" w:rsidRPr="00E41BA9" w:rsidRDefault="00E02FFC" w:rsidP="00A8519B">
            <w:pPr>
              <w:tabs>
                <w:tab w:val="left" w:pos="720"/>
              </w:tabs>
            </w:pPr>
            <w:r w:rsidRPr="00E41BA9">
              <w:t>3.1</w:t>
            </w:r>
          </w:p>
        </w:tc>
        <w:tc>
          <w:tcPr>
            <w:tcW w:w="9230" w:type="dxa"/>
            <w:gridSpan w:val="2"/>
          </w:tcPr>
          <w:p w:rsidR="00E02FFC" w:rsidRPr="007652C1" w:rsidRDefault="00E02FFC" w:rsidP="00C54D8B">
            <w:pPr>
              <w:jc w:val="both"/>
            </w:pPr>
            <w:r w:rsidRPr="009B67D6">
              <w:t xml:space="preserve">The aim of this ICT Technical Strategy is to develop </w:t>
            </w:r>
            <w:r>
              <w:t>a</w:t>
            </w:r>
            <w:r w:rsidRPr="009B67D6">
              <w:t>n overall ICT infrastructure</w:t>
            </w:r>
            <w:r>
              <w:t xml:space="preserve"> </w:t>
            </w:r>
            <w:r w:rsidRPr="009B67D6">
              <w:t xml:space="preserve">architecture that </w:t>
            </w:r>
            <w:r>
              <w:t>addresses</w:t>
            </w:r>
            <w:r w:rsidRPr="009B67D6">
              <w:t xml:space="preserve"> the Council’s current and future ICT requirements. It will define the standards and techno</w:t>
            </w:r>
            <w:r>
              <w:t xml:space="preserve">logies the Council will utilise </w:t>
            </w:r>
            <w:r w:rsidRPr="009B67D6">
              <w:t>and explain the technologies that services have available to them to enable them to deliver their outcomes.</w:t>
            </w: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3D1332">
            <w:pPr>
              <w:tabs>
                <w:tab w:val="left" w:pos="720"/>
              </w:tabs>
              <w:jc w:val="both"/>
            </w:pPr>
          </w:p>
        </w:tc>
      </w:tr>
      <w:tr w:rsidR="00E02FFC" w:rsidRPr="00E41BA9">
        <w:tc>
          <w:tcPr>
            <w:tcW w:w="706" w:type="dxa"/>
          </w:tcPr>
          <w:p w:rsidR="00E02FFC" w:rsidRPr="00E41BA9" w:rsidRDefault="00E02FFC" w:rsidP="00A8519B">
            <w:pPr>
              <w:tabs>
                <w:tab w:val="left" w:pos="720"/>
              </w:tabs>
            </w:pPr>
            <w:r w:rsidRPr="00E41BA9">
              <w:t>3.2</w:t>
            </w:r>
          </w:p>
        </w:tc>
        <w:tc>
          <w:tcPr>
            <w:tcW w:w="9230" w:type="dxa"/>
            <w:gridSpan w:val="2"/>
          </w:tcPr>
          <w:p w:rsidR="00E02FFC" w:rsidRPr="007652C1" w:rsidRDefault="00E02FFC" w:rsidP="007652C1">
            <w:pPr>
              <w:jc w:val="both"/>
            </w:pPr>
            <w:r w:rsidRPr="009B67D6">
              <w:t xml:space="preserve">The Council has invested </w:t>
            </w:r>
            <w:r>
              <w:t xml:space="preserve">significantly </w:t>
            </w:r>
            <w:r w:rsidRPr="009B67D6">
              <w:t xml:space="preserve">in ICT infrastructure and it is essential that these </w:t>
            </w:r>
            <w:r>
              <w:t xml:space="preserve">investments </w:t>
            </w:r>
            <w:r w:rsidRPr="009B67D6">
              <w:t>meet the required outcomes of the Council and individual portfolios. To achieve this</w:t>
            </w:r>
            <w:r>
              <w:t>,</w:t>
            </w:r>
            <w:r w:rsidRPr="009B67D6">
              <w:t xml:space="preserve"> the Council’s ICT infrastructure must be responsive to the needs of individual service areas and be aligned with the Council’s vision and priorities. Similarly the constant state of data explosion, issues around compliance and security, increasing demands for reliability and availability places increased pressures on ICT to provide a cost effective ICT infrastructure that supports the organisation. Finally ICT is expected to deliver savings by doing more with less investment and address issues around sustainability, the environment and the way officers work. </w:t>
            </w: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A8519B">
            <w:pPr>
              <w:tabs>
                <w:tab w:val="left" w:pos="720"/>
              </w:tabs>
            </w:pPr>
          </w:p>
        </w:tc>
      </w:tr>
      <w:tr w:rsidR="00E02FFC" w:rsidRPr="00E41BA9">
        <w:tc>
          <w:tcPr>
            <w:tcW w:w="706" w:type="dxa"/>
          </w:tcPr>
          <w:p w:rsidR="00E02FFC" w:rsidRPr="00E41BA9" w:rsidRDefault="00E02FFC" w:rsidP="00A8519B">
            <w:pPr>
              <w:tabs>
                <w:tab w:val="left" w:pos="720"/>
              </w:tabs>
            </w:pPr>
            <w:r w:rsidRPr="00E41BA9">
              <w:t>3.3</w:t>
            </w:r>
          </w:p>
        </w:tc>
        <w:tc>
          <w:tcPr>
            <w:tcW w:w="9230" w:type="dxa"/>
            <w:gridSpan w:val="2"/>
          </w:tcPr>
          <w:p w:rsidR="00E02FFC" w:rsidRPr="007652C1" w:rsidRDefault="00E02FFC" w:rsidP="007652C1">
            <w:pPr>
              <w:jc w:val="both"/>
            </w:pPr>
            <w:r>
              <w:t>A</w:t>
            </w:r>
            <w:r w:rsidRPr="003361A4">
              <w:t>s with many organisations the Council has too many applications, too much customisation and too much complexity. This strategy will seek to reduce this by making use of the Council’s existing infrastructure to maximise return on investment by breaking down silos, automating error prone manual processes and implementing tight management control across the infrastructure that support standards based systems and services that will simplify the ICT infrastructure. Strong security, virtualisations and better integration will all be key to achieving the enterprise architecture that is required to ensure that the Council’s infrastructure delivers the ICT hardware, software and systems that support the Council’s vision.</w:t>
            </w: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A8519B">
            <w:pPr>
              <w:tabs>
                <w:tab w:val="left" w:pos="720"/>
              </w:tabs>
            </w:pPr>
          </w:p>
        </w:tc>
      </w:tr>
      <w:tr w:rsidR="00E02FFC" w:rsidRPr="00E41BA9">
        <w:tc>
          <w:tcPr>
            <w:tcW w:w="706" w:type="dxa"/>
          </w:tcPr>
          <w:p w:rsidR="00E02FFC" w:rsidRPr="00E41BA9" w:rsidRDefault="00E02FFC" w:rsidP="00A8519B">
            <w:pPr>
              <w:tabs>
                <w:tab w:val="left" w:pos="720"/>
              </w:tabs>
            </w:pPr>
            <w:r>
              <w:t>3.4</w:t>
            </w:r>
          </w:p>
        </w:tc>
        <w:tc>
          <w:tcPr>
            <w:tcW w:w="9230" w:type="dxa"/>
            <w:gridSpan w:val="2"/>
          </w:tcPr>
          <w:p w:rsidR="00E02FFC" w:rsidRPr="008E4561" w:rsidRDefault="00E02FFC" w:rsidP="008E4561">
            <w:pPr>
              <w:jc w:val="both"/>
            </w:pPr>
            <w:r>
              <w:t>The strategy is built around the Society of ICT Managers (SOCitm) technology framework, which by its very nature is quite technical.</w:t>
            </w: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A8519B">
            <w:pPr>
              <w:tabs>
                <w:tab w:val="left" w:pos="720"/>
              </w:tabs>
            </w:pPr>
          </w:p>
        </w:tc>
      </w:tr>
      <w:tr w:rsidR="00E02FFC" w:rsidRPr="00E41BA9">
        <w:tc>
          <w:tcPr>
            <w:tcW w:w="706" w:type="dxa"/>
          </w:tcPr>
          <w:p w:rsidR="00E02FFC" w:rsidRPr="00E41BA9" w:rsidRDefault="00E02FFC" w:rsidP="00087CB6">
            <w:pPr>
              <w:tabs>
                <w:tab w:val="left" w:pos="720"/>
              </w:tabs>
              <w:rPr>
                <w:b/>
                <w:bCs/>
              </w:rPr>
            </w:pPr>
            <w:r>
              <w:rPr>
                <w:b/>
                <w:bCs/>
              </w:rPr>
              <w:t>4</w:t>
            </w:r>
            <w:r w:rsidRPr="00E41BA9">
              <w:rPr>
                <w:b/>
                <w:bCs/>
              </w:rPr>
              <w:t>.0</w:t>
            </w:r>
          </w:p>
        </w:tc>
        <w:tc>
          <w:tcPr>
            <w:tcW w:w="9230" w:type="dxa"/>
            <w:gridSpan w:val="2"/>
          </w:tcPr>
          <w:p w:rsidR="00E02FFC" w:rsidRPr="00FE34E4" w:rsidRDefault="00E02FFC" w:rsidP="00195AEB">
            <w:pPr>
              <w:tabs>
                <w:tab w:val="left" w:pos="720"/>
              </w:tabs>
              <w:rPr>
                <w:b/>
                <w:bCs/>
                <w:u w:val="single"/>
              </w:rPr>
            </w:pPr>
            <w:r w:rsidRPr="00FE34E4">
              <w:rPr>
                <w:b/>
                <w:bCs/>
                <w:u w:val="single"/>
              </w:rPr>
              <w:t xml:space="preserve">PREVIOUS MINUTES </w:t>
            </w: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A8519B">
            <w:pPr>
              <w:tabs>
                <w:tab w:val="left" w:pos="720"/>
              </w:tabs>
            </w:pPr>
          </w:p>
        </w:tc>
      </w:tr>
      <w:tr w:rsidR="00E02FFC" w:rsidRPr="00E41BA9">
        <w:tc>
          <w:tcPr>
            <w:tcW w:w="706" w:type="dxa"/>
          </w:tcPr>
          <w:p w:rsidR="00E02FFC" w:rsidRPr="00E41BA9" w:rsidRDefault="00E02FFC" w:rsidP="00195AEB">
            <w:pPr>
              <w:tabs>
                <w:tab w:val="left" w:pos="720"/>
              </w:tabs>
            </w:pPr>
          </w:p>
        </w:tc>
        <w:tc>
          <w:tcPr>
            <w:tcW w:w="9230" w:type="dxa"/>
            <w:gridSpan w:val="2"/>
          </w:tcPr>
          <w:p w:rsidR="00E02FFC" w:rsidRPr="00E41BA9" w:rsidRDefault="00E02FFC" w:rsidP="00732EA4">
            <w:pPr>
              <w:jc w:val="both"/>
            </w:pPr>
            <w:r>
              <w:t>Not Applicable</w:t>
            </w: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FE1D3D">
            <w:pPr>
              <w:tabs>
                <w:tab w:val="left" w:pos="720"/>
              </w:tabs>
              <w:jc w:val="both"/>
            </w:pPr>
          </w:p>
        </w:tc>
      </w:tr>
      <w:tr w:rsidR="00E02FFC" w:rsidRPr="00E41BA9">
        <w:tc>
          <w:tcPr>
            <w:tcW w:w="706" w:type="dxa"/>
          </w:tcPr>
          <w:p w:rsidR="00E02FFC" w:rsidRPr="00E41BA9" w:rsidRDefault="00E02FFC" w:rsidP="00732EA4">
            <w:pPr>
              <w:tabs>
                <w:tab w:val="left" w:pos="720"/>
              </w:tabs>
            </w:pPr>
            <w:r>
              <w:rPr>
                <w:b/>
                <w:bCs/>
              </w:rPr>
              <w:t>5</w:t>
            </w:r>
            <w:r w:rsidRPr="00527E3A">
              <w:rPr>
                <w:b/>
                <w:bCs/>
              </w:rPr>
              <w:t>.0</w:t>
            </w:r>
            <w:r>
              <w:t>.</w:t>
            </w:r>
          </w:p>
        </w:tc>
        <w:tc>
          <w:tcPr>
            <w:tcW w:w="9230" w:type="dxa"/>
            <w:gridSpan w:val="2"/>
          </w:tcPr>
          <w:p w:rsidR="00E02FFC" w:rsidRDefault="00E02FFC" w:rsidP="0019365A">
            <w:pPr>
              <w:tabs>
                <w:tab w:val="left" w:pos="720"/>
              </w:tabs>
              <w:rPr>
                <w:b/>
                <w:bCs/>
                <w:u w:val="single"/>
              </w:rPr>
            </w:pPr>
            <w:r>
              <w:rPr>
                <w:b/>
                <w:bCs/>
                <w:u w:val="single"/>
              </w:rPr>
              <w:t>BACKGROUND</w:t>
            </w:r>
          </w:p>
          <w:p w:rsidR="00E02FFC" w:rsidRPr="0007053C" w:rsidRDefault="00E02FFC" w:rsidP="0019365A">
            <w:pPr>
              <w:tabs>
                <w:tab w:val="left" w:pos="720"/>
              </w:tabs>
              <w:rPr>
                <w:b/>
                <w:bCs/>
              </w:rPr>
            </w:pPr>
          </w:p>
        </w:tc>
      </w:tr>
      <w:tr w:rsidR="00E02FFC" w:rsidRPr="00E41BA9">
        <w:tc>
          <w:tcPr>
            <w:tcW w:w="706" w:type="dxa"/>
          </w:tcPr>
          <w:p w:rsidR="00E02FFC" w:rsidRPr="00FE34E4" w:rsidRDefault="00E02FFC" w:rsidP="00A8519B">
            <w:pPr>
              <w:tabs>
                <w:tab w:val="left" w:pos="720"/>
              </w:tabs>
            </w:pPr>
            <w:r>
              <w:t>5</w:t>
            </w:r>
            <w:r w:rsidRPr="00FE34E4">
              <w:t>.1</w:t>
            </w:r>
          </w:p>
        </w:tc>
        <w:tc>
          <w:tcPr>
            <w:tcW w:w="9230" w:type="dxa"/>
            <w:gridSpan w:val="2"/>
          </w:tcPr>
          <w:p w:rsidR="00E02FFC" w:rsidRDefault="00E02FFC" w:rsidP="00FE34E4">
            <w:pPr>
              <w:tabs>
                <w:tab w:val="left" w:pos="720"/>
              </w:tabs>
              <w:jc w:val="both"/>
              <w:rPr>
                <w:b/>
                <w:bCs/>
              </w:rPr>
            </w:pPr>
            <w:r w:rsidRPr="00CB307F">
              <w:t>The Council’s ICT Technical Strategy recognises that the delivery of services and information based upon effective ICT resources demands a high degree of standardisation within the technical architecture of the infrastructure and therefore the strategy details the technical standards that the Council will adopt.</w:t>
            </w:r>
          </w:p>
        </w:tc>
      </w:tr>
      <w:tr w:rsidR="00E02FFC" w:rsidRPr="00E41BA9">
        <w:tc>
          <w:tcPr>
            <w:tcW w:w="706" w:type="dxa"/>
          </w:tcPr>
          <w:p w:rsidR="00E02FFC" w:rsidRPr="00FE34E4" w:rsidRDefault="00E02FFC" w:rsidP="00A8519B">
            <w:pPr>
              <w:tabs>
                <w:tab w:val="left" w:pos="720"/>
              </w:tabs>
            </w:pPr>
          </w:p>
        </w:tc>
        <w:tc>
          <w:tcPr>
            <w:tcW w:w="9230" w:type="dxa"/>
            <w:gridSpan w:val="2"/>
          </w:tcPr>
          <w:p w:rsidR="00E02FFC" w:rsidRPr="00CB307F" w:rsidRDefault="00E02FFC" w:rsidP="00FE34E4">
            <w:pPr>
              <w:tabs>
                <w:tab w:val="left" w:pos="720"/>
              </w:tabs>
              <w:jc w:val="both"/>
            </w:pPr>
          </w:p>
        </w:tc>
      </w:tr>
      <w:tr w:rsidR="00E02FFC" w:rsidRPr="00E41BA9">
        <w:tc>
          <w:tcPr>
            <w:tcW w:w="706" w:type="dxa"/>
          </w:tcPr>
          <w:p w:rsidR="00E02FFC" w:rsidRPr="00E41BA9" w:rsidRDefault="00E02FFC" w:rsidP="00732EA4">
            <w:pPr>
              <w:tabs>
                <w:tab w:val="left" w:pos="720"/>
              </w:tabs>
            </w:pPr>
            <w:r>
              <w:t>5.2</w:t>
            </w:r>
          </w:p>
        </w:tc>
        <w:tc>
          <w:tcPr>
            <w:tcW w:w="9230" w:type="dxa"/>
            <w:gridSpan w:val="2"/>
          </w:tcPr>
          <w:p w:rsidR="00E02FFC" w:rsidRPr="00FE34E4" w:rsidRDefault="00E02FFC" w:rsidP="00FE34E4">
            <w:pPr>
              <w:jc w:val="both"/>
            </w:pPr>
            <w:r>
              <w:t xml:space="preserve">The Council continues to host a cross platform (UNIX, LINUX, and Windows) infrastructure, which is responsible for delivering critical citizen information to all staff within the Council and is in line with the Government’s vision to provide new ways of delivering services. </w:t>
            </w:r>
          </w:p>
          <w:p w:rsidR="00E02FFC" w:rsidRPr="00E41BA9" w:rsidRDefault="00E02FFC" w:rsidP="00A8519B">
            <w:pPr>
              <w:tabs>
                <w:tab w:val="left" w:pos="720"/>
              </w:tabs>
              <w:rPr>
                <w:b/>
                <w:bCs/>
                <w:u w:val="single"/>
              </w:rPr>
            </w:pPr>
          </w:p>
        </w:tc>
      </w:tr>
      <w:tr w:rsidR="00E02FFC" w:rsidRPr="00E41BA9">
        <w:tc>
          <w:tcPr>
            <w:tcW w:w="706" w:type="dxa"/>
          </w:tcPr>
          <w:p w:rsidR="00E02FFC" w:rsidRDefault="00E02FFC" w:rsidP="00732EA4">
            <w:pPr>
              <w:tabs>
                <w:tab w:val="left" w:pos="720"/>
              </w:tabs>
            </w:pPr>
            <w:r>
              <w:t>5.3</w:t>
            </w:r>
          </w:p>
        </w:tc>
        <w:tc>
          <w:tcPr>
            <w:tcW w:w="9230" w:type="dxa"/>
            <w:gridSpan w:val="2"/>
          </w:tcPr>
          <w:p w:rsidR="00E02FFC" w:rsidRDefault="00E02FFC" w:rsidP="00FE34E4">
            <w:pPr>
              <w:jc w:val="both"/>
            </w:pPr>
            <w:r>
              <w:t>The objectives of the Technical Strategy are to ensure full interoperability of the Council’s existing applications and ensure that future applications are fully integrated seamlessly into the existing infrastructure.</w:t>
            </w:r>
          </w:p>
          <w:p w:rsidR="00E02FFC" w:rsidRDefault="00E02FFC" w:rsidP="00FE34E4">
            <w:pPr>
              <w:jc w:val="both"/>
            </w:pPr>
          </w:p>
        </w:tc>
      </w:tr>
      <w:tr w:rsidR="00E02FFC" w:rsidRPr="00E41BA9">
        <w:tc>
          <w:tcPr>
            <w:tcW w:w="706" w:type="dxa"/>
          </w:tcPr>
          <w:p w:rsidR="00E02FFC" w:rsidRDefault="00E02FFC" w:rsidP="00732EA4">
            <w:pPr>
              <w:tabs>
                <w:tab w:val="left" w:pos="720"/>
              </w:tabs>
            </w:pPr>
            <w:r>
              <w:t>5.4</w:t>
            </w:r>
          </w:p>
        </w:tc>
        <w:tc>
          <w:tcPr>
            <w:tcW w:w="9230" w:type="dxa"/>
            <w:gridSpan w:val="2"/>
          </w:tcPr>
          <w:p w:rsidR="00E02FFC" w:rsidRDefault="00E02FFC" w:rsidP="00FE34E4">
            <w:pPr>
              <w:jc w:val="both"/>
            </w:pPr>
            <w:r>
              <w:t>The ICT infrastructure itself should provide for:</w:t>
            </w:r>
          </w:p>
          <w:p w:rsidR="00E02FFC" w:rsidRDefault="00E02FFC" w:rsidP="00FE34E4">
            <w:pPr>
              <w:jc w:val="both"/>
            </w:pPr>
          </w:p>
          <w:p w:rsidR="00E02FFC" w:rsidRDefault="00E02FFC" w:rsidP="00FE34E4">
            <w:pPr>
              <w:numPr>
                <w:ilvl w:val="0"/>
                <w:numId w:val="30"/>
              </w:numPr>
              <w:jc w:val="both"/>
            </w:pPr>
            <w:r>
              <w:t>Centralised administration and control</w:t>
            </w:r>
          </w:p>
          <w:p w:rsidR="00E02FFC" w:rsidRDefault="00E02FFC" w:rsidP="00FE34E4">
            <w:pPr>
              <w:numPr>
                <w:ilvl w:val="0"/>
                <w:numId w:val="30"/>
              </w:numPr>
              <w:jc w:val="both"/>
            </w:pPr>
            <w:r>
              <w:t>Simplified management</w:t>
            </w:r>
          </w:p>
          <w:p w:rsidR="00E02FFC" w:rsidRDefault="00E02FFC" w:rsidP="00FE34E4">
            <w:pPr>
              <w:numPr>
                <w:ilvl w:val="0"/>
                <w:numId w:val="30"/>
              </w:numPr>
              <w:jc w:val="both"/>
            </w:pPr>
            <w:r>
              <w:t>The adoption of common standards and policies</w:t>
            </w:r>
          </w:p>
          <w:p w:rsidR="00E02FFC" w:rsidRDefault="00E02FFC" w:rsidP="00FE34E4">
            <w:pPr>
              <w:numPr>
                <w:ilvl w:val="0"/>
                <w:numId w:val="30"/>
              </w:numPr>
              <w:jc w:val="both"/>
            </w:pPr>
            <w:r>
              <w:t xml:space="preserve">Security management </w:t>
            </w:r>
          </w:p>
          <w:p w:rsidR="00E02FFC" w:rsidRDefault="00E02FFC" w:rsidP="00FE34E4">
            <w:pPr>
              <w:numPr>
                <w:ilvl w:val="0"/>
                <w:numId w:val="30"/>
              </w:numPr>
              <w:jc w:val="both"/>
            </w:pPr>
            <w:r>
              <w:t>Maximum availability</w:t>
            </w:r>
          </w:p>
          <w:p w:rsidR="00E02FFC" w:rsidRDefault="00E02FFC" w:rsidP="00FE34E4">
            <w:pPr>
              <w:numPr>
                <w:ilvl w:val="0"/>
                <w:numId w:val="30"/>
              </w:numPr>
              <w:jc w:val="both"/>
            </w:pPr>
            <w:r>
              <w:t>A single sign on environment across hardware platforms</w:t>
            </w:r>
          </w:p>
          <w:p w:rsidR="00E02FFC" w:rsidRDefault="00E02FFC" w:rsidP="00FE34E4">
            <w:pPr>
              <w:numPr>
                <w:ilvl w:val="0"/>
                <w:numId w:val="30"/>
              </w:numPr>
              <w:jc w:val="both"/>
            </w:pPr>
            <w:r>
              <w:t>Stability</w:t>
            </w:r>
          </w:p>
          <w:p w:rsidR="00E02FFC" w:rsidRDefault="00E02FFC" w:rsidP="00FE34E4">
            <w:pPr>
              <w:numPr>
                <w:ilvl w:val="0"/>
                <w:numId w:val="30"/>
              </w:numPr>
              <w:jc w:val="both"/>
            </w:pPr>
            <w:r>
              <w:t>Integration of new technology</w:t>
            </w:r>
          </w:p>
          <w:p w:rsidR="00E02FFC" w:rsidRDefault="00E02FFC" w:rsidP="00FE34E4">
            <w:pPr>
              <w:jc w:val="both"/>
            </w:pPr>
          </w:p>
        </w:tc>
      </w:tr>
      <w:tr w:rsidR="00E02FFC" w:rsidRPr="00E41BA9">
        <w:tc>
          <w:tcPr>
            <w:tcW w:w="706" w:type="dxa"/>
          </w:tcPr>
          <w:p w:rsidR="00E02FFC" w:rsidRDefault="00E02FFC" w:rsidP="00732EA4">
            <w:pPr>
              <w:tabs>
                <w:tab w:val="left" w:pos="720"/>
              </w:tabs>
            </w:pPr>
            <w:r>
              <w:t>5.5</w:t>
            </w:r>
          </w:p>
        </w:tc>
        <w:tc>
          <w:tcPr>
            <w:tcW w:w="9230" w:type="dxa"/>
            <w:gridSpan w:val="2"/>
          </w:tcPr>
          <w:p w:rsidR="00E02FFC" w:rsidRDefault="00E02FFC" w:rsidP="00FE34E4">
            <w:pPr>
              <w:jc w:val="both"/>
            </w:pPr>
            <w:r>
              <w:t>By delivering a robust, secure and reliable ICT infrastructure ICT will be well placed to respond to the needs of the Council and to work with partners both in the public and private sector to respond to the rising expectations of the Council’s customers. However this will require investment in the infrastructure as detailed at 10.02 below.</w:t>
            </w:r>
          </w:p>
          <w:p w:rsidR="00E02FFC" w:rsidRDefault="00E02FFC" w:rsidP="00FE34E4">
            <w:pPr>
              <w:jc w:val="both"/>
            </w:pPr>
          </w:p>
        </w:tc>
      </w:tr>
      <w:tr w:rsidR="00E02FFC" w:rsidRPr="00E41BA9">
        <w:tc>
          <w:tcPr>
            <w:tcW w:w="706" w:type="dxa"/>
          </w:tcPr>
          <w:p w:rsidR="00E02FFC" w:rsidRPr="00CB2C2F" w:rsidRDefault="00E02FFC" w:rsidP="00A8519B">
            <w:pPr>
              <w:tabs>
                <w:tab w:val="left" w:pos="720"/>
              </w:tabs>
              <w:rPr>
                <w:b/>
                <w:bCs/>
              </w:rPr>
            </w:pPr>
            <w:r w:rsidRPr="00CB2C2F">
              <w:rPr>
                <w:b/>
                <w:bCs/>
              </w:rPr>
              <w:t>6.0</w:t>
            </w:r>
          </w:p>
        </w:tc>
        <w:tc>
          <w:tcPr>
            <w:tcW w:w="9230" w:type="dxa"/>
            <w:gridSpan w:val="2"/>
          </w:tcPr>
          <w:p w:rsidR="00E02FFC" w:rsidRPr="002A1619" w:rsidRDefault="00E02FFC" w:rsidP="00FE34E4">
            <w:pPr>
              <w:jc w:val="both"/>
              <w:rPr>
                <w:u w:val="single"/>
              </w:rPr>
            </w:pPr>
            <w:r w:rsidRPr="002A1619">
              <w:rPr>
                <w:b/>
                <w:bCs/>
                <w:u w:val="single"/>
              </w:rPr>
              <w:t>EQUAL OPPORTUNITIES IMPLICATIONS</w:t>
            </w:r>
          </w:p>
          <w:p w:rsidR="00E02FFC" w:rsidRDefault="00E02FFC" w:rsidP="00FE34E4">
            <w:pPr>
              <w:jc w:val="both"/>
            </w:pPr>
          </w:p>
        </w:tc>
      </w:tr>
      <w:tr w:rsidR="00E02FFC" w:rsidRPr="00E41BA9">
        <w:tc>
          <w:tcPr>
            <w:tcW w:w="706" w:type="dxa"/>
          </w:tcPr>
          <w:p w:rsidR="00E02FFC" w:rsidRDefault="00E02FFC" w:rsidP="00A8519B">
            <w:pPr>
              <w:tabs>
                <w:tab w:val="left" w:pos="720"/>
              </w:tabs>
            </w:pPr>
            <w:r>
              <w:t>6.1</w:t>
            </w:r>
          </w:p>
        </w:tc>
        <w:tc>
          <w:tcPr>
            <w:tcW w:w="9230" w:type="dxa"/>
            <w:gridSpan w:val="2"/>
          </w:tcPr>
          <w:p w:rsidR="00E02FFC" w:rsidRDefault="00E02FFC" w:rsidP="00FE34E4">
            <w:pPr>
              <w:jc w:val="both"/>
              <w:rPr>
                <w:b/>
                <w:bCs/>
              </w:rPr>
            </w:pPr>
            <w:r>
              <w:t>There are no equal opportunities implications</w:t>
            </w:r>
          </w:p>
          <w:p w:rsidR="00E02FFC" w:rsidRPr="004B2164" w:rsidRDefault="00E02FFC" w:rsidP="00FE34E4">
            <w:pPr>
              <w:jc w:val="both"/>
              <w:rPr>
                <w:b/>
                <w:bCs/>
              </w:rPr>
            </w:pPr>
          </w:p>
        </w:tc>
      </w:tr>
      <w:tr w:rsidR="00E02FFC" w:rsidRPr="00E41BA9">
        <w:tc>
          <w:tcPr>
            <w:tcW w:w="706" w:type="dxa"/>
          </w:tcPr>
          <w:p w:rsidR="00E02FFC" w:rsidRPr="00CB2C2F" w:rsidRDefault="00E02FFC" w:rsidP="00732EA4">
            <w:pPr>
              <w:tabs>
                <w:tab w:val="left" w:pos="720"/>
              </w:tabs>
              <w:rPr>
                <w:b/>
                <w:bCs/>
              </w:rPr>
            </w:pPr>
            <w:r w:rsidRPr="00CB2C2F">
              <w:rPr>
                <w:b/>
                <w:bCs/>
              </w:rPr>
              <w:t>7.0</w:t>
            </w:r>
          </w:p>
        </w:tc>
        <w:tc>
          <w:tcPr>
            <w:tcW w:w="9230" w:type="dxa"/>
            <w:gridSpan w:val="2"/>
          </w:tcPr>
          <w:p w:rsidR="00E02FFC" w:rsidRPr="002A1619" w:rsidRDefault="00E02FFC" w:rsidP="00FE34E4">
            <w:pPr>
              <w:jc w:val="both"/>
              <w:rPr>
                <w:u w:val="single"/>
              </w:rPr>
            </w:pPr>
            <w:r w:rsidRPr="002A1619">
              <w:rPr>
                <w:b/>
                <w:bCs/>
                <w:u w:val="single"/>
              </w:rPr>
              <w:t>ENVIRONMENTAL IMPLICATIONS</w:t>
            </w:r>
          </w:p>
          <w:p w:rsidR="00E02FFC" w:rsidRDefault="00E02FFC" w:rsidP="00FE34E4">
            <w:pPr>
              <w:jc w:val="both"/>
            </w:pPr>
          </w:p>
        </w:tc>
      </w:tr>
      <w:tr w:rsidR="00E02FFC" w:rsidRPr="00E41BA9">
        <w:tc>
          <w:tcPr>
            <w:tcW w:w="706" w:type="dxa"/>
          </w:tcPr>
          <w:p w:rsidR="00E02FFC" w:rsidRDefault="00E02FFC" w:rsidP="00A8519B">
            <w:pPr>
              <w:tabs>
                <w:tab w:val="left" w:pos="720"/>
              </w:tabs>
            </w:pPr>
            <w:r>
              <w:t>7.1</w:t>
            </w:r>
          </w:p>
        </w:tc>
        <w:tc>
          <w:tcPr>
            <w:tcW w:w="9230" w:type="dxa"/>
            <w:gridSpan w:val="2"/>
          </w:tcPr>
          <w:p w:rsidR="00E02FFC" w:rsidRPr="004B2164" w:rsidRDefault="00E02FFC" w:rsidP="008F49D3">
            <w:pPr>
              <w:jc w:val="both"/>
              <w:rPr>
                <w:b/>
                <w:bCs/>
              </w:rPr>
            </w:pPr>
            <w:r w:rsidRPr="00CB2C2F">
              <w:t xml:space="preserve">The introduction of the virtualised infrastructure will impact on the power requirements for ICT and will contribute to the Council’s reduction in carbon footprint </w:t>
            </w:r>
          </w:p>
        </w:tc>
      </w:tr>
      <w:tr w:rsidR="00E02FFC" w:rsidRPr="00E41BA9">
        <w:tc>
          <w:tcPr>
            <w:tcW w:w="706" w:type="dxa"/>
          </w:tcPr>
          <w:p w:rsidR="00E02FFC" w:rsidRDefault="00E02FFC" w:rsidP="00A8519B">
            <w:pPr>
              <w:tabs>
                <w:tab w:val="left" w:pos="720"/>
              </w:tabs>
            </w:pPr>
          </w:p>
        </w:tc>
        <w:tc>
          <w:tcPr>
            <w:tcW w:w="9230" w:type="dxa"/>
            <w:gridSpan w:val="2"/>
          </w:tcPr>
          <w:p w:rsidR="00E02FFC" w:rsidRPr="002A1619" w:rsidRDefault="00E02FFC" w:rsidP="00FE34E4">
            <w:pPr>
              <w:jc w:val="both"/>
              <w:rPr>
                <w:u w:val="single"/>
              </w:rPr>
            </w:pPr>
          </w:p>
        </w:tc>
      </w:tr>
      <w:tr w:rsidR="00E02FFC" w:rsidRPr="00E41BA9">
        <w:tc>
          <w:tcPr>
            <w:tcW w:w="706" w:type="dxa"/>
          </w:tcPr>
          <w:p w:rsidR="00E02FFC" w:rsidRPr="008F49D3" w:rsidRDefault="00E02FFC" w:rsidP="00A8519B">
            <w:pPr>
              <w:tabs>
                <w:tab w:val="left" w:pos="720"/>
              </w:tabs>
              <w:rPr>
                <w:b/>
                <w:bCs/>
              </w:rPr>
            </w:pPr>
            <w:r w:rsidRPr="008F49D3">
              <w:rPr>
                <w:b/>
                <w:bCs/>
              </w:rPr>
              <w:t>8.0</w:t>
            </w:r>
          </w:p>
        </w:tc>
        <w:tc>
          <w:tcPr>
            <w:tcW w:w="9230" w:type="dxa"/>
            <w:gridSpan w:val="2"/>
          </w:tcPr>
          <w:p w:rsidR="00E02FFC" w:rsidRPr="002A1619" w:rsidRDefault="00E02FFC" w:rsidP="00FE34E4">
            <w:pPr>
              <w:jc w:val="both"/>
              <w:rPr>
                <w:u w:val="single"/>
              </w:rPr>
            </w:pPr>
            <w:r w:rsidRPr="002A1619">
              <w:rPr>
                <w:b/>
                <w:bCs/>
                <w:u w:val="single"/>
              </w:rPr>
              <w:t>LEGAL IMPLICATIONS</w:t>
            </w:r>
          </w:p>
          <w:p w:rsidR="00E02FFC" w:rsidRPr="002A1619" w:rsidRDefault="00E02FFC" w:rsidP="00FE34E4">
            <w:pPr>
              <w:jc w:val="both"/>
              <w:rPr>
                <w:u w:val="single"/>
              </w:rPr>
            </w:pPr>
          </w:p>
        </w:tc>
      </w:tr>
      <w:tr w:rsidR="00E02FFC" w:rsidRPr="00E41BA9">
        <w:tc>
          <w:tcPr>
            <w:tcW w:w="706" w:type="dxa"/>
          </w:tcPr>
          <w:p w:rsidR="00E02FFC" w:rsidRPr="008F49D3" w:rsidRDefault="00E02FFC" w:rsidP="00A8519B">
            <w:pPr>
              <w:tabs>
                <w:tab w:val="left" w:pos="720"/>
              </w:tabs>
            </w:pPr>
            <w:r>
              <w:t>8.1</w:t>
            </w:r>
          </w:p>
        </w:tc>
        <w:tc>
          <w:tcPr>
            <w:tcW w:w="9230" w:type="dxa"/>
            <w:gridSpan w:val="2"/>
          </w:tcPr>
          <w:p w:rsidR="00E02FFC" w:rsidRPr="004B2164" w:rsidRDefault="00E02FFC" w:rsidP="00FE34E4">
            <w:pPr>
              <w:jc w:val="both"/>
              <w:rPr>
                <w:b/>
                <w:bCs/>
              </w:rPr>
            </w:pPr>
            <w:r>
              <w:t>The procurement of the investments identified must adhere to financial and contract regulations set out in the Council’s Constitution</w:t>
            </w:r>
          </w:p>
        </w:tc>
      </w:tr>
      <w:tr w:rsidR="00E02FFC" w:rsidRPr="00E41BA9">
        <w:tc>
          <w:tcPr>
            <w:tcW w:w="706" w:type="dxa"/>
          </w:tcPr>
          <w:p w:rsidR="00E02FFC" w:rsidRPr="008F49D3" w:rsidRDefault="00E02FFC" w:rsidP="00A8519B">
            <w:pPr>
              <w:tabs>
                <w:tab w:val="left" w:pos="720"/>
              </w:tabs>
            </w:pPr>
          </w:p>
        </w:tc>
        <w:tc>
          <w:tcPr>
            <w:tcW w:w="9230" w:type="dxa"/>
            <w:gridSpan w:val="2"/>
          </w:tcPr>
          <w:p w:rsidR="00E02FFC" w:rsidRPr="004B2164" w:rsidRDefault="00E02FFC" w:rsidP="00FE34E4">
            <w:pPr>
              <w:jc w:val="both"/>
              <w:rPr>
                <w:b/>
                <w:bCs/>
              </w:rPr>
            </w:pPr>
          </w:p>
        </w:tc>
      </w:tr>
      <w:tr w:rsidR="00E02FFC" w:rsidRPr="00E41BA9">
        <w:tc>
          <w:tcPr>
            <w:tcW w:w="706" w:type="dxa"/>
          </w:tcPr>
          <w:p w:rsidR="00E02FFC" w:rsidRPr="008F49D3" w:rsidRDefault="00E02FFC" w:rsidP="00A8519B">
            <w:pPr>
              <w:tabs>
                <w:tab w:val="left" w:pos="720"/>
              </w:tabs>
            </w:pPr>
            <w:r>
              <w:t>8.2</w:t>
            </w:r>
          </w:p>
        </w:tc>
        <w:tc>
          <w:tcPr>
            <w:tcW w:w="9230" w:type="dxa"/>
            <w:gridSpan w:val="2"/>
          </w:tcPr>
          <w:p w:rsidR="00E02FFC" w:rsidRPr="004B2164" w:rsidRDefault="00E02FFC" w:rsidP="008F49D3">
            <w:pPr>
              <w:jc w:val="both"/>
              <w:rPr>
                <w:b/>
                <w:bCs/>
              </w:rPr>
            </w:pPr>
            <w:r>
              <w:t>Advice will need to be sought as appropriate from Legal Services and the Council’s Procurement Team regarding the terms and conditions of any purchasing and leasing agreements for the implementation of these proposals.</w:t>
            </w:r>
          </w:p>
        </w:tc>
      </w:tr>
      <w:tr w:rsidR="00E02FFC" w:rsidRPr="00E41BA9">
        <w:tc>
          <w:tcPr>
            <w:tcW w:w="706" w:type="dxa"/>
          </w:tcPr>
          <w:p w:rsidR="00E02FFC" w:rsidRPr="008F49D3" w:rsidRDefault="00E02FFC" w:rsidP="00A8519B">
            <w:pPr>
              <w:tabs>
                <w:tab w:val="left" w:pos="720"/>
              </w:tabs>
              <w:rPr>
                <w:b/>
                <w:bCs/>
              </w:rPr>
            </w:pPr>
          </w:p>
        </w:tc>
        <w:tc>
          <w:tcPr>
            <w:tcW w:w="9230" w:type="dxa"/>
            <w:gridSpan w:val="2"/>
          </w:tcPr>
          <w:p w:rsidR="00E02FFC" w:rsidRPr="004B2164" w:rsidRDefault="00E02FFC" w:rsidP="00FE34E4">
            <w:pPr>
              <w:jc w:val="both"/>
              <w:rPr>
                <w:b/>
                <w:bCs/>
              </w:rPr>
            </w:pPr>
          </w:p>
        </w:tc>
      </w:tr>
      <w:tr w:rsidR="00E02FFC" w:rsidRPr="00E41BA9">
        <w:tc>
          <w:tcPr>
            <w:tcW w:w="706" w:type="dxa"/>
          </w:tcPr>
          <w:p w:rsidR="00E02FFC" w:rsidRPr="008F49D3" w:rsidRDefault="00E02FFC" w:rsidP="00A8519B">
            <w:pPr>
              <w:tabs>
                <w:tab w:val="left" w:pos="720"/>
              </w:tabs>
              <w:rPr>
                <w:b/>
                <w:bCs/>
              </w:rPr>
            </w:pPr>
            <w:r>
              <w:rPr>
                <w:b/>
                <w:bCs/>
              </w:rPr>
              <w:t>9.0</w:t>
            </w:r>
          </w:p>
        </w:tc>
        <w:tc>
          <w:tcPr>
            <w:tcW w:w="9230" w:type="dxa"/>
            <w:gridSpan w:val="2"/>
          </w:tcPr>
          <w:p w:rsidR="00E02FFC" w:rsidRPr="002A1619" w:rsidRDefault="00E02FFC" w:rsidP="00FE34E4">
            <w:pPr>
              <w:jc w:val="both"/>
              <w:rPr>
                <w:b/>
                <w:bCs/>
                <w:u w:val="single"/>
              </w:rPr>
            </w:pPr>
            <w:r w:rsidRPr="002A1619">
              <w:rPr>
                <w:b/>
                <w:bCs/>
                <w:u w:val="single"/>
              </w:rPr>
              <w:t>LINKS WITH CORPORATE PRIORITIES</w:t>
            </w:r>
          </w:p>
        </w:tc>
      </w:tr>
      <w:tr w:rsidR="00E02FFC" w:rsidRPr="00E41BA9">
        <w:tc>
          <w:tcPr>
            <w:tcW w:w="706" w:type="dxa"/>
          </w:tcPr>
          <w:p w:rsidR="00E02FFC" w:rsidRPr="008F49D3" w:rsidRDefault="00E02FFC" w:rsidP="00A8519B">
            <w:pPr>
              <w:tabs>
                <w:tab w:val="left" w:pos="720"/>
              </w:tabs>
              <w:rPr>
                <w:b/>
                <w:bCs/>
              </w:rPr>
            </w:pPr>
          </w:p>
        </w:tc>
        <w:tc>
          <w:tcPr>
            <w:tcW w:w="9230" w:type="dxa"/>
            <w:gridSpan w:val="2"/>
          </w:tcPr>
          <w:p w:rsidR="00E02FFC" w:rsidRPr="004B2164" w:rsidRDefault="00E02FFC" w:rsidP="00FE34E4">
            <w:pPr>
              <w:jc w:val="both"/>
              <w:rPr>
                <w:b/>
                <w:bCs/>
              </w:rPr>
            </w:pPr>
          </w:p>
        </w:tc>
      </w:tr>
      <w:tr w:rsidR="00E02FFC" w:rsidRPr="00E41BA9">
        <w:tc>
          <w:tcPr>
            <w:tcW w:w="706" w:type="dxa"/>
          </w:tcPr>
          <w:p w:rsidR="00E02FFC" w:rsidRPr="008F49D3" w:rsidRDefault="00E02FFC" w:rsidP="00A8519B">
            <w:pPr>
              <w:tabs>
                <w:tab w:val="left" w:pos="720"/>
              </w:tabs>
            </w:pPr>
            <w:r>
              <w:t>9.1</w:t>
            </w:r>
          </w:p>
        </w:tc>
        <w:tc>
          <w:tcPr>
            <w:tcW w:w="9230" w:type="dxa"/>
            <w:gridSpan w:val="2"/>
          </w:tcPr>
          <w:p w:rsidR="00E02FFC" w:rsidRPr="0019365A" w:rsidRDefault="00E02FFC" w:rsidP="0019365A">
            <w:pPr>
              <w:jc w:val="both"/>
            </w:pPr>
            <w:r w:rsidRPr="0019365A">
              <w:t xml:space="preserve">Priority 3 – maintaining a high quality attractive environment and Priority 7 </w:t>
            </w:r>
            <w:r>
              <w:t xml:space="preserve">- </w:t>
            </w:r>
            <w:r w:rsidRPr="0019365A">
              <w:t>efficient effective council</w:t>
            </w:r>
            <w:r>
              <w:t>.</w:t>
            </w:r>
          </w:p>
        </w:tc>
      </w:tr>
      <w:tr w:rsidR="00E02FFC" w:rsidRPr="00E41BA9">
        <w:tc>
          <w:tcPr>
            <w:tcW w:w="706" w:type="dxa"/>
          </w:tcPr>
          <w:p w:rsidR="00E02FFC" w:rsidRPr="008F49D3" w:rsidRDefault="00E02FFC" w:rsidP="00A8519B">
            <w:pPr>
              <w:tabs>
                <w:tab w:val="left" w:pos="720"/>
              </w:tabs>
              <w:rPr>
                <w:b/>
                <w:bCs/>
              </w:rPr>
            </w:pPr>
          </w:p>
        </w:tc>
        <w:tc>
          <w:tcPr>
            <w:tcW w:w="9230" w:type="dxa"/>
            <w:gridSpan w:val="2"/>
          </w:tcPr>
          <w:p w:rsidR="00E02FFC" w:rsidRPr="004B2164" w:rsidRDefault="00E02FFC" w:rsidP="00FE34E4">
            <w:pPr>
              <w:jc w:val="both"/>
              <w:rPr>
                <w:b/>
                <w:bCs/>
              </w:rPr>
            </w:pPr>
          </w:p>
        </w:tc>
      </w:tr>
      <w:tr w:rsidR="00E02FFC" w:rsidRPr="00E41BA9">
        <w:tc>
          <w:tcPr>
            <w:tcW w:w="706" w:type="dxa"/>
          </w:tcPr>
          <w:p w:rsidR="00E02FFC" w:rsidRPr="0019365A" w:rsidRDefault="00E02FFC" w:rsidP="0019365A">
            <w:pPr>
              <w:tabs>
                <w:tab w:val="left" w:pos="720"/>
              </w:tabs>
              <w:rPr>
                <w:b/>
                <w:bCs/>
              </w:rPr>
            </w:pPr>
            <w:r w:rsidRPr="0019365A">
              <w:rPr>
                <w:b/>
                <w:bCs/>
              </w:rPr>
              <w:t>10.0</w:t>
            </w:r>
          </w:p>
        </w:tc>
        <w:tc>
          <w:tcPr>
            <w:tcW w:w="9230" w:type="dxa"/>
            <w:gridSpan w:val="2"/>
          </w:tcPr>
          <w:p w:rsidR="00E02FFC" w:rsidRPr="002A1619" w:rsidRDefault="00E02FFC" w:rsidP="0019365A">
            <w:pPr>
              <w:tabs>
                <w:tab w:val="left" w:pos="720"/>
              </w:tabs>
              <w:jc w:val="both"/>
              <w:rPr>
                <w:u w:val="single"/>
              </w:rPr>
            </w:pPr>
            <w:r w:rsidRPr="002A1619">
              <w:rPr>
                <w:b/>
                <w:bCs/>
                <w:u w:val="single"/>
              </w:rPr>
              <w:t>FINANCIAL IMPLICATIONS</w:t>
            </w:r>
          </w:p>
        </w:tc>
      </w:tr>
      <w:tr w:rsidR="00E02FFC" w:rsidRPr="00E41BA9">
        <w:trPr>
          <w:trHeight w:val="221"/>
        </w:trPr>
        <w:tc>
          <w:tcPr>
            <w:tcW w:w="706" w:type="dxa"/>
          </w:tcPr>
          <w:p w:rsidR="00E02FFC" w:rsidRPr="0019365A" w:rsidRDefault="00E02FFC" w:rsidP="0019365A">
            <w:pPr>
              <w:tabs>
                <w:tab w:val="left" w:pos="720"/>
              </w:tabs>
              <w:rPr>
                <w:b/>
                <w:bCs/>
              </w:rPr>
            </w:pPr>
          </w:p>
        </w:tc>
        <w:tc>
          <w:tcPr>
            <w:tcW w:w="9230" w:type="dxa"/>
            <w:gridSpan w:val="2"/>
          </w:tcPr>
          <w:p w:rsidR="00E02FFC" w:rsidRPr="0007053C" w:rsidRDefault="00E02FFC" w:rsidP="00FE1D3D">
            <w:pPr>
              <w:tabs>
                <w:tab w:val="left" w:pos="720"/>
              </w:tabs>
              <w:jc w:val="both"/>
              <w:rPr>
                <w:b/>
                <w:bCs/>
              </w:rPr>
            </w:pPr>
          </w:p>
        </w:tc>
      </w:tr>
      <w:tr w:rsidR="00E02FFC" w:rsidRPr="00E41BA9">
        <w:trPr>
          <w:trHeight w:val="221"/>
        </w:trPr>
        <w:tc>
          <w:tcPr>
            <w:tcW w:w="706" w:type="dxa"/>
          </w:tcPr>
          <w:p w:rsidR="00E02FFC" w:rsidRPr="0024145D" w:rsidRDefault="00E02FFC" w:rsidP="0019365A">
            <w:pPr>
              <w:tabs>
                <w:tab w:val="left" w:pos="720"/>
              </w:tabs>
            </w:pPr>
            <w:r w:rsidRPr="0024145D">
              <w:t>10.1</w:t>
            </w:r>
          </w:p>
        </w:tc>
        <w:tc>
          <w:tcPr>
            <w:tcW w:w="9230" w:type="dxa"/>
            <w:gridSpan w:val="2"/>
          </w:tcPr>
          <w:p w:rsidR="00E02FFC" w:rsidRPr="0024145D" w:rsidRDefault="00E02FFC" w:rsidP="006A2E08">
            <w:pPr>
              <w:tabs>
                <w:tab w:val="left" w:pos="720"/>
              </w:tabs>
              <w:jc w:val="both"/>
            </w:pPr>
            <w:r>
              <w:t xml:space="preserve">The major server infrastructure components of the ICT Technical Strategy are funded through the existing infrastructure capital approved by Cabinet back in 2007 and are currently being implemented under a contract with Dell. However a number of priority changes to the Council’s existing technical architecture are required in order to implement the Corporate Contact Centre, achieve compliance with the Code of Connection for Government Connect, deliver against BSF technical requirements and ensure compliance with Government data handling procedures established to ensure the security of personal information held by the Council. These schemes are detailed in the table below. </w:t>
            </w:r>
          </w:p>
        </w:tc>
      </w:tr>
      <w:tr w:rsidR="00E02FFC" w:rsidRPr="00E41BA9">
        <w:trPr>
          <w:trHeight w:val="221"/>
        </w:trPr>
        <w:tc>
          <w:tcPr>
            <w:tcW w:w="706" w:type="dxa"/>
          </w:tcPr>
          <w:p w:rsidR="00E02FFC" w:rsidRPr="0019365A" w:rsidRDefault="00E02FFC" w:rsidP="0019365A">
            <w:pPr>
              <w:tabs>
                <w:tab w:val="left" w:pos="720"/>
              </w:tabs>
              <w:rPr>
                <w:b/>
                <w:bCs/>
              </w:rPr>
            </w:pPr>
          </w:p>
        </w:tc>
        <w:tc>
          <w:tcPr>
            <w:tcW w:w="9230" w:type="dxa"/>
            <w:gridSpan w:val="2"/>
          </w:tcPr>
          <w:p w:rsidR="00E02FFC" w:rsidRPr="0007053C" w:rsidRDefault="00E02FFC" w:rsidP="00FE1D3D">
            <w:pPr>
              <w:tabs>
                <w:tab w:val="left" w:pos="720"/>
              </w:tabs>
              <w:jc w:val="both"/>
              <w:rPr>
                <w:b/>
                <w:bCs/>
              </w:rPr>
            </w:pPr>
          </w:p>
        </w:tc>
      </w:tr>
      <w:tr w:rsidR="00E02FFC" w:rsidRPr="00E41BA9">
        <w:tc>
          <w:tcPr>
            <w:tcW w:w="706" w:type="dxa"/>
          </w:tcPr>
          <w:p w:rsidR="00E02FFC" w:rsidRPr="00E41BA9" w:rsidRDefault="00E02FFC" w:rsidP="0024145D">
            <w:pPr>
              <w:tabs>
                <w:tab w:val="left" w:pos="720"/>
              </w:tabs>
            </w:pPr>
            <w:r>
              <w:t>10.2</w:t>
            </w:r>
          </w:p>
        </w:tc>
        <w:tc>
          <w:tcPr>
            <w:tcW w:w="9230" w:type="dxa"/>
            <w:gridSpan w:val="2"/>
          </w:tcPr>
          <w:p w:rsidR="00E02FFC" w:rsidRDefault="00E02FFC" w:rsidP="0019365A">
            <w:pPr>
              <w:tabs>
                <w:tab w:val="left" w:pos="720"/>
              </w:tabs>
              <w:jc w:val="both"/>
            </w:pPr>
            <w:r>
              <w:t>The total proposed spend over the next 12 to 18 month period is estimated at £0.297m (again detailed in the table below). ICT have one-off balances, set aside to meet service and investment needs, of £0.444m which will fund these proposals. As a trading service income levels vary year on year, depending on client needs and project work, therefore it is prudent to carry a service balance into 2009/10 to cover income volatility and meet any unforeseen expenditure that may arise.</w:t>
            </w:r>
          </w:p>
          <w:p w:rsidR="00E02FFC" w:rsidRDefault="00E02FFC" w:rsidP="00497EB0">
            <w:pPr>
              <w:tabs>
                <w:tab w:val="left" w:pos="720"/>
              </w:tabs>
            </w:pPr>
          </w:p>
          <w:p w:rsidR="00E02FFC" w:rsidRPr="00E41BA9" w:rsidRDefault="00E02FFC" w:rsidP="00497EB0">
            <w:pPr>
              <w:tabs>
                <w:tab w:val="left" w:pos="720"/>
              </w:tabs>
            </w:pPr>
          </w:p>
        </w:tc>
      </w:tr>
      <w:tr w:rsidR="00E02FFC" w:rsidRPr="00E41BA9">
        <w:tc>
          <w:tcPr>
            <w:tcW w:w="706" w:type="dxa"/>
          </w:tcPr>
          <w:p w:rsidR="00E02FFC" w:rsidRPr="00E41BA9" w:rsidRDefault="00E02FFC" w:rsidP="00A8519B">
            <w:pPr>
              <w:tabs>
                <w:tab w:val="left" w:pos="720"/>
              </w:tabs>
            </w:pPr>
          </w:p>
        </w:tc>
        <w:tc>
          <w:tcPr>
            <w:tcW w:w="9230" w:type="dxa"/>
            <w:gridSpan w:val="2"/>
          </w:tcPr>
          <w:tbl>
            <w:tblPr>
              <w:tblW w:w="900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1"/>
              <w:gridCol w:w="4340"/>
              <w:gridCol w:w="1218"/>
              <w:gridCol w:w="3025"/>
            </w:tblGrid>
            <w:tr w:rsidR="00E02FFC" w:rsidRPr="00527E3A">
              <w:tc>
                <w:tcPr>
                  <w:tcW w:w="421" w:type="dxa"/>
                  <w:tcBorders>
                    <w:top w:val="single" w:sz="4" w:space="0" w:color="000000"/>
                    <w:left w:val="single" w:sz="4" w:space="0" w:color="000000"/>
                    <w:bottom w:val="single" w:sz="4" w:space="0" w:color="000000"/>
                    <w:right w:val="single" w:sz="4" w:space="0" w:color="000000"/>
                  </w:tcBorders>
                  <w:shd w:val="clear" w:color="auto" w:fill="BFBFBF"/>
                </w:tcPr>
                <w:p w:rsidR="00E02FFC" w:rsidRPr="00527E3A" w:rsidRDefault="00E02FFC" w:rsidP="0019365A">
                  <w:pPr>
                    <w:tabs>
                      <w:tab w:val="left" w:pos="720"/>
                    </w:tabs>
                    <w:rPr>
                      <w:b/>
                      <w:bCs/>
                    </w:rPr>
                  </w:pPr>
                </w:p>
              </w:tc>
              <w:tc>
                <w:tcPr>
                  <w:tcW w:w="4340" w:type="dxa"/>
                  <w:tcBorders>
                    <w:top w:val="single" w:sz="4" w:space="0" w:color="000000"/>
                    <w:left w:val="single" w:sz="4" w:space="0" w:color="000000"/>
                    <w:bottom w:val="single" w:sz="4" w:space="0" w:color="000000"/>
                    <w:right w:val="single" w:sz="4" w:space="0" w:color="000000"/>
                  </w:tcBorders>
                  <w:shd w:val="clear" w:color="auto" w:fill="BFBFBF"/>
                </w:tcPr>
                <w:p w:rsidR="00E02FFC" w:rsidRPr="00527E3A" w:rsidRDefault="00E02FFC" w:rsidP="0019365A">
                  <w:pPr>
                    <w:tabs>
                      <w:tab w:val="left" w:pos="720"/>
                    </w:tabs>
                    <w:rPr>
                      <w:b/>
                      <w:bCs/>
                    </w:rPr>
                  </w:pPr>
                  <w:r>
                    <w:rPr>
                      <w:b/>
                      <w:bCs/>
                    </w:rPr>
                    <w:t xml:space="preserve">Investment </w:t>
                  </w:r>
                  <w:r w:rsidRPr="00527E3A">
                    <w:rPr>
                      <w:b/>
                      <w:bCs/>
                    </w:rPr>
                    <w:t xml:space="preserve">Description </w:t>
                  </w:r>
                </w:p>
              </w:tc>
              <w:tc>
                <w:tcPr>
                  <w:tcW w:w="1218" w:type="dxa"/>
                  <w:tcBorders>
                    <w:top w:val="single" w:sz="4" w:space="0" w:color="000000"/>
                    <w:left w:val="single" w:sz="4" w:space="0" w:color="000000"/>
                    <w:bottom w:val="single" w:sz="4" w:space="0" w:color="000000"/>
                    <w:right w:val="single" w:sz="4" w:space="0" w:color="000000"/>
                  </w:tcBorders>
                  <w:shd w:val="clear" w:color="auto" w:fill="BFBFBF"/>
                </w:tcPr>
                <w:p w:rsidR="00E02FFC" w:rsidRPr="00527E3A" w:rsidRDefault="00E02FFC" w:rsidP="0019365A">
                  <w:pPr>
                    <w:tabs>
                      <w:tab w:val="left" w:pos="720"/>
                    </w:tabs>
                    <w:jc w:val="center"/>
                    <w:rPr>
                      <w:b/>
                      <w:bCs/>
                    </w:rPr>
                  </w:pPr>
                  <w:r w:rsidRPr="00527E3A">
                    <w:rPr>
                      <w:b/>
                      <w:bCs/>
                    </w:rPr>
                    <w:t>£</w:t>
                  </w:r>
                </w:p>
              </w:tc>
              <w:tc>
                <w:tcPr>
                  <w:tcW w:w="3025" w:type="dxa"/>
                  <w:tcBorders>
                    <w:top w:val="single" w:sz="4" w:space="0" w:color="000000"/>
                    <w:left w:val="single" w:sz="4" w:space="0" w:color="000000"/>
                    <w:bottom w:val="single" w:sz="4" w:space="0" w:color="000000"/>
                    <w:right w:val="single" w:sz="4" w:space="0" w:color="000000"/>
                  </w:tcBorders>
                  <w:shd w:val="clear" w:color="auto" w:fill="BFBFBF"/>
                </w:tcPr>
                <w:p w:rsidR="00E02FFC" w:rsidRPr="00527E3A" w:rsidRDefault="00E02FFC" w:rsidP="0019365A">
                  <w:pPr>
                    <w:tabs>
                      <w:tab w:val="left" w:pos="720"/>
                    </w:tabs>
                    <w:jc w:val="center"/>
                    <w:rPr>
                      <w:b/>
                      <w:bCs/>
                    </w:rPr>
                  </w:pPr>
                  <w:r w:rsidRPr="00527E3A">
                    <w:rPr>
                      <w:b/>
                      <w:bCs/>
                    </w:rPr>
                    <w:t>Comment</w:t>
                  </w:r>
                </w:p>
              </w:tc>
            </w:tr>
            <w:tr w:rsidR="00E02FFC" w:rsidRPr="00527E3A">
              <w:tc>
                <w:tcPr>
                  <w:tcW w:w="421"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jc w:val="both"/>
                  </w:pPr>
                  <w:r>
                    <w:t>1</w:t>
                  </w:r>
                </w:p>
              </w:tc>
              <w:tc>
                <w:tcPr>
                  <w:tcW w:w="4340"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jc w:val="both"/>
                  </w:pPr>
                  <w:r w:rsidRPr="00527E3A">
                    <w:t>Voice &amp; Telephony Services Upgrade</w:t>
                  </w:r>
                </w:p>
                <w:p w:rsidR="00E02FFC" w:rsidRPr="00527E3A" w:rsidRDefault="00E02FFC" w:rsidP="0019365A">
                  <w:pPr>
                    <w:tabs>
                      <w:tab w:val="left" w:pos="720"/>
                    </w:tabs>
                  </w:pPr>
                </w:p>
              </w:tc>
              <w:tc>
                <w:tcPr>
                  <w:tcW w:w="1218"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jc w:val="right"/>
                  </w:pPr>
                  <w:r w:rsidRPr="00527E3A">
                    <w:t>£112,000</w:t>
                  </w:r>
                </w:p>
              </w:tc>
              <w:tc>
                <w:tcPr>
                  <w:tcW w:w="3025"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rsidRPr="00527E3A">
                    <w:t xml:space="preserve">Required for total integration to the CRM system </w:t>
                  </w:r>
                </w:p>
              </w:tc>
            </w:tr>
            <w:tr w:rsidR="00E02FFC" w:rsidRPr="00527E3A">
              <w:tc>
                <w:tcPr>
                  <w:tcW w:w="421"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t>2</w:t>
                  </w:r>
                </w:p>
              </w:tc>
              <w:tc>
                <w:tcPr>
                  <w:tcW w:w="4340"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rsidRPr="00527E3A">
                    <w:t xml:space="preserve"> Access control &amp; intrusion Detection</w:t>
                  </w:r>
                </w:p>
                <w:p w:rsidR="00E02FFC" w:rsidRPr="00527E3A" w:rsidRDefault="00E02FFC" w:rsidP="0019365A">
                  <w:pPr>
                    <w:tabs>
                      <w:tab w:val="left" w:pos="720"/>
                    </w:tabs>
                  </w:pPr>
                </w:p>
              </w:tc>
              <w:tc>
                <w:tcPr>
                  <w:tcW w:w="1218"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jc w:val="right"/>
                  </w:pPr>
                  <w:r w:rsidRPr="00527E3A">
                    <w:t>£40,000</w:t>
                  </w:r>
                </w:p>
              </w:tc>
              <w:tc>
                <w:tcPr>
                  <w:tcW w:w="3025"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rsidRPr="00527E3A">
                    <w:t>To ensure only authorised dev</w:t>
                  </w:r>
                  <w:r>
                    <w:t>ices can connect to the network required for Government connect</w:t>
                  </w:r>
                </w:p>
              </w:tc>
            </w:tr>
            <w:tr w:rsidR="00E02FFC" w:rsidRPr="00527E3A">
              <w:tc>
                <w:tcPr>
                  <w:tcW w:w="421"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t>3</w:t>
                  </w:r>
                </w:p>
              </w:tc>
              <w:tc>
                <w:tcPr>
                  <w:tcW w:w="4340"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rsidRPr="00527E3A">
                    <w:t xml:space="preserve"> Wireless Review &amp; Handover</w:t>
                  </w:r>
                </w:p>
              </w:tc>
              <w:tc>
                <w:tcPr>
                  <w:tcW w:w="1218"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jc w:val="right"/>
                  </w:pPr>
                  <w:r w:rsidRPr="00527E3A">
                    <w:t>£20,000</w:t>
                  </w:r>
                </w:p>
              </w:tc>
              <w:tc>
                <w:tcPr>
                  <w:tcW w:w="3025"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rsidRPr="00527E3A">
                    <w:t>Will ensure the wireless network forms part of the managed network provision.</w:t>
                  </w:r>
                </w:p>
              </w:tc>
            </w:tr>
            <w:tr w:rsidR="00E02FFC" w:rsidRPr="00527E3A">
              <w:tc>
                <w:tcPr>
                  <w:tcW w:w="421"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t>4</w:t>
                  </w:r>
                </w:p>
              </w:tc>
              <w:tc>
                <w:tcPr>
                  <w:tcW w:w="4340"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rsidRPr="00527E3A">
                    <w:t>Network Trusts between Corporate &amp; Education</w:t>
                  </w:r>
                </w:p>
              </w:tc>
              <w:tc>
                <w:tcPr>
                  <w:tcW w:w="1218"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jc w:val="right"/>
                  </w:pPr>
                  <w:r w:rsidRPr="00527E3A">
                    <w:t>£5,000</w:t>
                  </w:r>
                </w:p>
              </w:tc>
              <w:tc>
                <w:tcPr>
                  <w:tcW w:w="3025"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rsidRPr="00527E3A">
                    <w:t xml:space="preserve">Enable access to corporate intranet from the schools for staff. </w:t>
                  </w:r>
                </w:p>
              </w:tc>
            </w:tr>
            <w:tr w:rsidR="00E02FFC" w:rsidRPr="00527E3A">
              <w:tc>
                <w:tcPr>
                  <w:tcW w:w="421"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t>5</w:t>
                  </w:r>
                </w:p>
              </w:tc>
              <w:tc>
                <w:tcPr>
                  <w:tcW w:w="4340"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rsidRPr="00527E3A">
                    <w:t>Upgrade internet facing routers to 1GB</w:t>
                  </w:r>
                </w:p>
              </w:tc>
              <w:tc>
                <w:tcPr>
                  <w:tcW w:w="1218"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jc w:val="right"/>
                  </w:pPr>
                  <w:r w:rsidRPr="00527E3A">
                    <w:t>£15,000</w:t>
                  </w:r>
                </w:p>
              </w:tc>
              <w:tc>
                <w:tcPr>
                  <w:tcW w:w="3025"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rsidRPr="00527E3A">
                    <w:t>Maximise the investment already made into the JANET internet service</w:t>
                  </w:r>
                </w:p>
              </w:tc>
            </w:tr>
            <w:tr w:rsidR="00E02FFC" w:rsidRPr="00527E3A">
              <w:tc>
                <w:tcPr>
                  <w:tcW w:w="421"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t>6</w:t>
                  </w:r>
                </w:p>
              </w:tc>
              <w:tc>
                <w:tcPr>
                  <w:tcW w:w="4340"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rPr>
                      <w:b/>
                      <w:bCs/>
                    </w:rPr>
                  </w:pPr>
                  <w:r w:rsidRPr="00527E3A">
                    <w:t>Encryption of mobile devices and lockdown on mobile media storage</w:t>
                  </w:r>
                </w:p>
              </w:tc>
              <w:tc>
                <w:tcPr>
                  <w:tcW w:w="1218"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jc w:val="right"/>
                  </w:pPr>
                  <w:r w:rsidRPr="00527E3A">
                    <w:t>£105,000</w:t>
                  </w:r>
                </w:p>
              </w:tc>
              <w:tc>
                <w:tcPr>
                  <w:tcW w:w="3025"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pPr>
                  <w:r w:rsidRPr="00527E3A">
                    <w:t xml:space="preserve">Ensure that all mobile devices and removable media data is encrypted a requirement for government connect. </w:t>
                  </w:r>
                </w:p>
              </w:tc>
            </w:tr>
            <w:tr w:rsidR="00E02FFC" w:rsidRPr="00527E3A">
              <w:tc>
                <w:tcPr>
                  <w:tcW w:w="421"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rPr>
                      <w:b/>
                      <w:bCs/>
                    </w:rPr>
                  </w:pPr>
                </w:p>
              </w:tc>
              <w:tc>
                <w:tcPr>
                  <w:tcW w:w="4340"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rPr>
                      <w:b/>
                      <w:bCs/>
                    </w:rPr>
                  </w:pPr>
                  <w:r w:rsidRPr="00527E3A">
                    <w:rPr>
                      <w:b/>
                      <w:bCs/>
                    </w:rPr>
                    <w:t>Total Investment</w:t>
                  </w:r>
                </w:p>
                <w:p w:rsidR="00E02FFC" w:rsidRPr="00527E3A" w:rsidRDefault="00E02FFC" w:rsidP="0019365A">
                  <w:pPr>
                    <w:tabs>
                      <w:tab w:val="left" w:pos="720"/>
                    </w:tabs>
                    <w:rPr>
                      <w:b/>
                      <w:bCs/>
                    </w:rPr>
                  </w:pPr>
                </w:p>
              </w:tc>
              <w:tc>
                <w:tcPr>
                  <w:tcW w:w="1218"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jc w:val="right"/>
                    <w:rPr>
                      <w:b/>
                      <w:bCs/>
                    </w:rPr>
                  </w:pPr>
                  <w:r>
                    <w:rPr>
                      <w:b/>
                      <w:bCs/>
                    </w:rPr>
                    <w:t>£2</w:t>
                  </w:r>
                  <w:r w:rsidRPr="00527E3A">
                    <w:rPr>
                      <w:b/>
                      <w:bCs/>
                    </w:rPr>
                    <w:t>97,000</w:t>
                  </w:r>
                </w:p>
              </w:tc>
              <w:tc>
                <w:tcPr>
                  <w:tcW w:w="3025" w:type="dxa"/>
                  <w:tcBorders>
                    <w:top w:val="single" w:sz="4" w:space="0" w:color="000000"/>
                    <w:left w:val="single" w:sz="4" w:space="0" w:color="000000"/>
                    <w:bottom w:val="single" w:sz="4" w:space="0" w:color="000000"/>
                    <w:right w:val="single" w:sz="4" w:space="0" w:color="000000"/>
                  </w:tcBorders>
                </w:tcPr>
                <w:p w:rsidR="00E02FFC" w:rsidRPr="00527E3A" w:rsidRDefault="00E02FFC" w:rsidP="0019365A">
                  <w:pPr>
                    <w:tabs>
                      <w:tab w:val="left" w:pos="720"/>
                    </w:tabs>
                    <w:rPr>
                      <w:b/>
                      <w:bCs/>
                    </w:rPr>
                  </w:pPr>
                </w:p>
              </w:tc>
            </w:tr>
          </w:tbl>
          <w:p w:rsidR="00E02FFC" w:rsidRPr="00E41BA9" w:rsidRDefault="00E02FFC" w:rsidP="00497EB0">
            <w:pPr>
              <w:tabs>
                <w:tab w:val="left" w:pos="720"/>
              </w:tabs>
            </w:pP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497EB0">
            <w:pPr>
              <w:tabs>
                <w:tab w:val="left" w:pos="720"/>
              </w:tabs>
            </w:pPr>
          </w:p>
        </w:tc>
      </w:tr>
      <w:tr w:rsidR="00E02FFC" w:rsidRPr="00E41BA9">
        <w:tc>
          <w:tcPr>
            <w:tcW w:w="706" w:type="dxa"/>
            <w:tcBorders>
              <w:top w:val="nil"/>
              <w:left w:val="nil"/>
              <w:bottom w:val="nil"/>
              <w:right w:val="nil"/>
            </w:tcBorders>
          </w:tcPr>
          <w:p w:rsidR="00E02FFC" w:rsidRPr="004B2164" w:rsidRDefault="00E02FFC" w:rsidP="006A2E08">
            <w:pPr>
              <w:rPr>
                <w:b/>
                <w:bCs/>
              </w:rPr>
            </w:pPr>
            <w:r>
              <w:rPr>
                <w:b/>
                <w:bCs/>
              </w:rPr>
              <w:t>11.0</w:t>
            </w:r>
          </w:p>
        </w:tc>
        <w:tc>
          <w:tcPr>
            <w:tcW w:w="9230" w:type="dxa"/>
            <w:gridSpan w:val="2"/>
            <w:tcBorders>
              <w:top w:val="nil"/>
              <w:left w:val="nil"/>
              <w:bottom w:val="nil"/>
              <w:right w:val="nil"/>
            </w:tcBorders>
          </w:tcPr>
          <w:p w:rsidR="00E02FFC" w:rsidRPr="002A1619" w:rsidRDefault="00E02FFC" w:rsidP="0007053C">
            <w:pPr>
              <w:jc w:val="both"/>
              <w:rPr>
                <w:b/>
                <w:bCs/>
                <w:u w:val="single"/>
              </w:rPr>
            </w:pPr>
            <w:r w:rsidRPr="002A1619">
              <w:rPr>
                <w:b/>
                <w:bCs/>
                <w:u w:val="single"/>
              </w:rPr>
              <w:t>WARD IMPLICATIONS</w:t>
            </w: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A8519B">
            <w:pPr>
              <w:tabs>
                <w:tab w:val="left" w:pos="720"/>
              </w:tabs>
            </w:pPr>
          </w:p>
        </w:tc>
      </w:tr>
      <w:tr w:rsidR="00E02FFC" w:rsidRPr="00E41BA9">
        <w:tc>
          <w:tcPr>
            <w:tcW w:w="706" w:type="dxa"/>
            <w:tcBorders>
              <w:top w:val="nil"/>
              <w:left w:val="nil"/>
              <w:bottom w:val="nil"/>
              <w:right w:val="nil"/>
            </w:tcBorders>
          </w:tcPr>
          <w:p w:rsidR="00E02FFC" w:rsidRPr="00E41BA9" w:rsidRDefault="00E02FFC" w:rsidP="006A2E08">
            <w:pPr>
              <w:tabs>
                <w:tab w:val="left" w:pos="720"/>
              </w:tabs>
            </w:pPr>
            <w:r>
              <w:t>11.1</w:t>
            </w:r>
          </w:p>
        </w:tc>
        <w:tc>
          <w:tcPr>
            <w:tcW w:w="9230" w:type="dxa"/>
            <w:gridSpan w:val="2"/>
            <w:tcBorders>
              <w:top w:val="nil"/>
              <w:left w:val="nil"/>
              <w:bottom w:val="nil"/>
              <w:right w:val="nil"/>
            </w:tcBorders>
          </w:tcPr>
          <w:p w:rsidR="00E02FFC" w:rsidRPr="002A1619" w:rsidRDefault="00E02FFC" w:rsidP="002A1619">
            <w:pPr>
              <w:autoSpaceDE w:val="0"/>
              <w:autoSpaceDN w:val="0"/>
              <w:adjustRightInd w:val="0"/>
              <w:jc w:val="both"/>
            </w:pPr>
            <w:r>
              <w:t>Borough  Wide Implications</w:t>
            </w: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A8519B">
            <w:pPr>
              <w:tabs>
                <w:tab w:val="left" w:pos="720"/>
              </w:tabs>
            </w:pPr>
          </w:p>
        </w:tc>
      </w:tr>
      <w:tr w:rsidR="00E02FFC" w:rsidRPr="00E41BA9">
        <w:trPr>
          <w:gridAfter w:val="1"/>
          <w:wAfter w:w="1392" w:type="dxa"/>
        </w:trPr>
        <w:tc>
          <w:tcPr>
            <w:tcW w:w="706" w:type="dxa"/>
          </w:tcPr>
          <w:p w:rsidR="00E02FFC" w:rsidRPr="004B2164" w:rsidRDefault="00E02FFC" w:rsidP="006A2E08">
            <w:pPr>
              <w:rPr>
                <w:b/>
                <w:bCs/>
              </w:rPr>
            </w:pPr>
            <w:r>
              <w:rPr>
                <w:b/>
                <w:bCs/>
              </w:rPr>
              <w:t>12</w:t>
            </w:r>
            <w:r w:rsidRPr="004B2164">
              <w:rPr>
                <w:b/>
                <w:bCs/>
              </w:rPr>
              <w:t>.0</w:t>
            </w:r>
          </w:p>
        </w:tc>
        <w:tc>
          <w:tcPr>
            <w:tcW w:w="7838" w:type="dxa"/>
          </w:tcPr>
          <w:p w:rsidR="00E02FFC" w:rsidRPr="002A1619" w:rsidRDefault="00E02FFC" w:rsidP="006A2E08">
            <w:pPr>
              <w:jc w:val="both"/>
              <w:rPr>
                <w:b/>
                <w:bCs/>
                <w:u w:val="single"/>
              </w:rPr>
            </w:pPr>
            <w:r w:rsidRPr="002A1619">
              <w:rPr>
                <w:b/>
                <w:bCs/>
                <w:u w:val="single"/>
              </w:rPr>
              <w:t>BACKGROUN PAPERS</w:t>
            </w:r>
          </w:p>
        </w:tc>
      </w:tr>
      <w:tr w:rsidR="00E02FFC" w:rsidRPr="00E41BA9">
        <w:trPr>
          <w:gridAfter w:val="1"/>
          <w:wAfter w:w="1392" w:type="dxa"/>
        </w:trPr>
        <w:tc>
          <w:tcPr>
            <w:tcW w:w="706" w:type="dxa"/>
          </w:tcPr>
          <w:p w:rsidR="00E02FFC" w:rsidRPr="00E41BA9" w:rsidRDefault="00E02FFC" w:rsidP="00A8519B">
            <w:pPr>
              <w:tabs>
                <w:tab w:val="left" w:pos="720"/>
              </w:tabs>
            </w:pPr>
          </w:p>
        </w:tc>
        <w:tc>
          <w:tcPr>
            <w:tcW w:w="7838" w:type="dxa"/>
          </w:tcPr>
          <w:p w:rsidR="00E02FFC" w:rsidRPr="00E41BA9" w:rsidRDefault="00E02FFC" w:rsidP="00A8519B">
            <w:pPr>
              <w:tabs>
                <w:tab w:val="left" w:pos="720"/>
              </w:tabs>
            </w:pP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A8519B">
            <w:pPr>
              <w:tabs>
                <w:tab w:val="left" w:pos="720"/>
              </w:tabs>
            </w:pPr>
            <w:r>
              <w:t>ICT Technical Strategy</w:t>
            </w:r>
          </w:p>
        </w:tc>
      </w:tr>
      <w:tr w:rsidR="00E02FFC" w:rsidRPr="00E41BA9">
        <w:tc>
          <w:tcPr>
            <w:tcW w:w="706" w:type="dxa"/>
          </w:tcPr>
          <w:p w:rsidR="00E02FFC" w:rsidRPr="00E41BA9" w:rsidRDefault="00E02FFC" w:rsidP="00A8519B">
            <w:pPr>
              <w:tabs>
                <w:tab w:val="left" w:pos="720"/>
              </w:tabs>
            </w:pPr>
          </w:p>
        </w:tc>
        <w:tc>
          <w:tcPr>
            <w:tcW w:w="9230" w:type="dxa"/>
            <w:gridSpan w:val="2"/>
          </w:tcPr>
          <w:p w:rsidR="00E02FFC" w:rsidRPr="00E41BA9" w:rsidRDefault="00E02FFC" w:rsidP="00A8519B">
            <w:pPr>
              <w:tabs>
                <w:tab w:val="left" w:pos="720"/>
              </w:tabs>
            </w:pPr>
          </w:p>
        </w:tc>
      </w:tr>
    </w:tbl>
    <w:p w:rsidR="00E02FFC" w:rsidRPr="00E41BA9" w:rsidRDefault="00E02FFC" w:rsidP="00C43FC4">
      <w:pPr>
        <w:tabs>
          <w:tab w:val="left" w:pos="720"/>
        </w:tabs>
        <w:ind w:left="709" w:hanging="709"/>
      </w:pPr>
      <w:r w:rsidRPr="00E41BA9">
        <w:tab/>
      </w:r>
    </w:p>
    <w:p w:rsidR="00E02FFC" w:rsidRDefault="00E02FFC" w:rsidP="00C43FC4">
      <w:pPr>
        <w:tabs>
          <w:tab w:val="left" w:pos="720"/>
          <w:tab w:val="left" w:pos="1440"/>
        </w:tabs>
        <w:rPr>
          <w:b/>
          <w:bCs/>
        </w:rPr>
      </w:pPr>
      <w:r w:rsidRPr="00E41BA9">
        <w:rPr>
          <w:b/>
          <w:bCs/>
        </w:rPr>
        <w:t>End of Report</w:t>
      </w:r>
    </w:p>
    <w:p w:rsidR="00E02FFC" w:rsidRDefault="00E02FFC" w:rsidP="00C43FC4">
      <w:pPr>
        <w:tabs>
          <w:tab w:val="left" w:pos="720"/>
          <w:tab w:val="left" w:pos="1440"/>
        </w:tabs>
        <w:rPr>
          <w:b/>
          <w:bCs/>
        </w:rPr>
      </w:pPr>
    </w:p>
    <w:p w:rsidR="00E02FFC" w:rsidRDefault="00E02FFC" w:rsidP="00C43FC4">
      <w:pPr>
        <w:tabs>
          <w:tab w:val="left" w:pos="720"/>
          <w:tab w:val="left" w:pos="1440"/>
        </w:tabs>
        <w:rPr>
          <w:b/>
          <w:bCs/>
        </w:rPr>
      </w:pPr>
      <w:r>
        <w:rPr>
          <w:b/>
          <w:bCs/>
        </w:rPr>
        <w:t>Report Prepared by:</w:t>
      </w:r>
      <w:r>
        <w:rPr>
          <w:b/>
          <w:bCs/>
        </w:rPr>
        <w:tab/>
        <w:t>Mike Weston – Head of ICT</w:t>
      </w:r>
    </w:p>
    <w:p w:rsidR="00E02FFC" w:rsidRDefault="00E02FFC" w:rsidP="00C43FC4">
      <w:pPr>
        <w:tabs>
          <w:tab w:val="left" w:pos="720"/>
          <w:tab w:val="left" w:pos="1440"/>
        </w:tabs>
        <w:rPr>
          <w:b/>
          <w:bCs/>
        </w:rPr>
      </w:pPr>
      <w:r>
        <w:rPr>
          <w:b/>
          <w:bCs/>
        </w:rPr>
        <w:tab/>
      </w:r>
      <w:r>
        <w:rPr>
          <w:b/>
          <w:bCs/>
        </w:rPr>
        <w:tab/>
      </w:r>
      <w:r>
        <w:rPr>
          <w:b/>
          <w:bCs/>
        </w:rPr>
        <w:tab/>
      </w:r>
      <w:r>
        <w:rPr>
          <w:b/>
          <w:bCs/>
        </w:rPr>
        <w:tab/>
        <w:t>Tom Greatorex – ICT Business Manager</w:t>
      </w:r>
    </w:p>
    <w:p w:rsidR="00E02FFC" w:rsidRDefault="00E02FFC" w:rsidP="00C43FC4">
      <w:pPr>
        <w:tabs>
          <w:tab w:val="left" w:pos="720"/>
          <w:tab w:val="left" w:pos="1440"/>
        </w:tabs>
        <w:rPr>
          <w:b/>
          <w:bCs/>
        </w:rPr>
      </w:pPr>
    </w:p>
    <w:p w:rsidR="00E02FFC" w:rsidRDefault="00E02FFC" w:rsidP="00C43FC4">
      <w:pPr>
        <w:tabs>
          <w:tab w:val="left" w:pos="720"/>
          <w:tab w:val="left" w:pos="1440"/>
        </w:tabs>
        <w:rPr>
          <w:b/>
          <w:bCs/>
        </w:rPr>
      </w:pPr>
    </w:p>
    <w:p w:rsidR="00E02FFC" w:rsidRPr="00E41BA9" w:rsidRDefault="00E02FFC" w:rsidP="00FF7F4C">
      <w:bookmarkStart w:id="0" w:name="_PictureBullets"/>
      <w:r w:rsidRPr="00BF2786">
        <w:rPr>
          <w:rFonts w:ascii="Times New Roman" w:hAnsi="Times New Roman" w:cs="Times New Roman"/>
          <w:vanis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7" o:title=""/>
          </v:shape>
        </w:pict>
      </w:r>
      <w:bookmarkEnd w:id="0"/>
    </w:p>
    <w:sectPr w:rsidR="00E02FFC" w:rsidRPr="00E41BA9" w:rsidSect="001A0086">
      <w:headerReference w:type="default" r:id="rId8"/>
      <w:footerReference w:type="default" r:id="rId9"/>
      <w:pgSz w:w="11906" w:h="16838"/>
      <w:pgMar w:top="1440" w:right="1106" w:bottom="1440" w:left="1080"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2FFC" w:rsidRDefault="00E02FFC" w:rsidP="00C96394">
      <w:r>
        <w:separator/>
      </w:r>
    </w:p>
  </w:endnote>
  <w:endnote w:type="continuationSeparator" w:id="1">
    <w:p w:rsidR="00E02FFC" w:rsidRDefault="00E02FFC" w:rsidP="00C963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FFC" w:rsidRDefault="00E02FFC">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2FFC" w:rsidRDefault="00E02FFC" w:rsidP="00C96394">
      <w:r>
        <w:separator/>
      </w:r>
    </w:p>
  </w:footnote>
  <w:footnote w:type="continuationSeparator" w:id="1">
    <w:p w:rsidR="00E02FFC" w:rsidRDefault="00E02FFC" w:rsidP="00C963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FFC" w:rsidRDefault="00E02F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808632FA"/>
    <w:lvl w:ilvl="0">
      <w:start w:val="1"/>
      <w:numFmt w:val="decimal"/>
      <w:lvlText w:val="%1."/>
      <w:lvlJc w:val="left"/>
      <w:pPr>
        <w:tabs>
          <w:tab w:val="num" w:pos="643"/>
        </w:tabs>
        <w:ind w:left="643" w:hanging="360"/>
      </w:pPr>
    </w:lvl>
  </w:abstractNum>
  <w:abstractNum w:abstractNumId="1">
    <w:nsid w:val="FFFFFF88"/>
    <w:multiLevelType w:val="singleLevel"/>
    <w:tmpl w:val="3468FE26"/>
    <w:lvl w:ilvl="0">
      <w:start w:val="1"/>
      <w:numFmt w:val="decimal"/>
      <w:lvlText w:val="%1."/>
      <w:lvlJc w:val="left"/>
      <w:pPr>
        <w:tabs>
          <w:tab w:val="num" w:pos="360"/>
        </w:tabs>
        <w:ind w:left="360" w:hanging="360"/>
      </w:pPr>
    </w:lvl>
  </w:abstractNum>
  <w:abstractNum w:abstractNumId="2">
    <w:nsid w:val="FFFFFF89"/>
    <w:multiLevelType w:val="singleLevel"/>
    <w:tmpl w:val="C7C42CBA"/>
    <w:lvl w:ilvl="0">
      <w:start w:val="1"/>
      <w:numFmt w:val="bullet"/>
      <w:lvlText w:val=""/>
      <w:lvlJc w:val="left"/>
      <w:pPr>
        <w:tabs>
          <w:tab w:val="num" w:pos="360"/>
        </w:tabs>
        <w:ind w:left="360" w:hanging="360"/>
      </w:pPr>
      <w:rPr>
        <w:rFonts w:ascii="Symbol" w:hAnsi="Symbol" w:cs="Symbol" w:hint="default"/>
      </w:rPr>
    </w:lvl>
  </w:abstractNum>
  <w:abstractNum w:abstractNumId="3">
    <w:nsid w:val="FFFFFFFE"/>
    <w:multiLevelType w:val="singleLevel"/>
    <w:tmpl w:val="43EC2A4E"/>
    <w:lvl w:ilvl="0">
      <w:numFmt w:val="decimal"/>
      <w:pStyle w:val="ListBullet"/>
      <w:lvlText w:val="*"/>
      <w:lvlJc w:val="left"/>
    </w:lvl>
  </w:abstractNum>
  <w:abstractNum w:abstractNumId="4">
    <w:nsid w:val="03940293"/>
    <w:multiLevelType w:val="hybridMultilevel"/>
    <w:tmpl w:val="F89AC3C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nsid w:val="38A43BE9"/>
    <w:multiLevelType w:val="multilevel"/>
    <w:tmpl w:val="B40CAFEE"/>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1144"/>
        </w:tabs>
        <w:ind w:left="1144" w:hanging="576"/>
      </w:pPr>
    </w:lvl>
    <w:lvl w:ilvl="2">
      <w:start w:val="1"/>
      <w:numFmt w:val="decimal"/>
      <w:pStyle w:val="Heading3"/>
      <w:lvlText w:val="%1.%2.%3"/>
      <w:lvlJc w:val="left"/>
      <w:pPr>
        <w:tabs>
          <w:tab w:val="num" w:pos="1430"/>
        </w:tabs>
        <w:ind w:left="143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6">
    <w:nsid w:val="3EE94295"/>
    <w:multiLevelType w:val="multilevel"/>
    <w:tmpl w:val="717E48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48372AF"/>
    <w:multiLevelType w:val="hybridMultilevel"/>
    <w:tmpl w:val="FAE02B1C"/>
    <w:lvl w:ilvl="0" w:tplc="57060718">
      <w:start w:val="1"/>
      <w:numFmt w:val="bullet"/>
      <w:pStyle w:val="BodyTex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
    <w:nsid w:val="5822552B"/>
    <w:multiLevelType w:val="multilevel"/>
    <w:tmpl w:val="16AAE284"/>
    <w:lvl w:ilvl="0">
      <w:start w:val="2"/>
      <w:numFmt w:val="decimal"/>
      <w:lvlText w:val="%1.0"/>
      <w:lvlJc w:val="left"/>
      <w:pPr>
        <w:tabs>
          <w:tab w:val="num" w:pos="645"/>
        </w:tabs>
        <w:ind w:left="645" w:hanging="645"/>
      </w:pPr>
      <w:rPr>
        <w:rFonts w:hint="default"/>
        <w:u w:val="none"/>
      </w:rPr>
    </w:lvl>
    <w:lvl w:ilvl="1">
      <w:start w:val="1"/>
      <w:numFmt w:val="decimal"/>
      <w:lvlText w:val="%1.%2"/>
      <w:lvlJc w:val="left"/>
      <w:pPr>
        <w:tabs>
          <w:tab w:val="num" w:pos="1365"/>
        </w:tabs>
        <w:ind w:left="1365" w:hanging="645"/>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2880"/>
        </w:tabs>
        <w:ind w:left="2880" w:hanging="72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4680"/>
        </w:tabs>
        <w:ind w:left="4680" w:hanging="108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480"/>
        </w:tabs>
        <w:ind w:left="6480" w:hanging="1440"/>
      </w:pPr>
      <w:rPr>
        <w:rFonts w:hint="default"/>
        <w:u w:val="none"/>
      </w:rPr>
    </w:lvl>
    <w:lvl w:ilvl="8">
      <w:start w:val="1"/>
      <w:numFmt w:val="decimal"/>
      <w:lvlText w:val="%1.%2.%3.%4.%5.%6.%7.%8.%9"/>
      <w:lvlJc w:val="left"/>
      <w:pPr>
        <w:tabs>
          <w:tab w:val="num" w:pos="7560"/>
        </w:tabs>
        <w:ind w:left="7560" w:hanging="1800"/>
      </w:pPr>
      <w:rPr>
        <w:rFonts w:hint="default"/>
        <w:u w:val="none"/>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2"/>
  </w:num>
  <w:num w:numId="8">
    <w:abstractNumId w:val="1"/>
  </w:num>
  <w:num w:numId="9">
    <w:abstractNumId w:val="0"/>
  </w:num>
  <w:num w:numId="10">
    <w:abstractNumId w:val="2"/>
  </w:num>
  <w:num w:numId="11">
    <w:abstractNumId w:val="1"/>
  </w:num>
  <w:num w:numId="12">
    <w:abstractNumId w:val="0"/>
  </w:num>
  <w:num w:numId="13">
    <w:abstractNumId w:val="2"/>
  </w:num>
  <w:num w:numId="14">
    <w:abstractNumId w:val="1"/>
  </w:num>
  <w:num w:numId="15">
    <w:abstractNumId w:val="0"/>
  </w:num>
  <w:num w:numId="16">
    <w:abstractNumId w:val="2"/>
  </w:num>
  <w:num w:numId="17">
    <w:abstractNumId w:val="1"/>
  </w:num>
  <w:num w:numId="18">
    <w:abstractNumId w:val="0"/>
  </w:num>
  <w:num w:numId="19">
    <w:abstractNumId w:val="2"/>
  </w:num>
  <w:num w:numId="20">
    <w:abstractNumId w:val="1"/>
  </w:num>
  <w:num w:numId="21">
    <w:abstractNumId w:val="0"/>
  </w:num>
  <w:num w:numId="22">
    <w:abstractNumId w:val="2"/>
  </w:num>
  <w:num w:numId="23">
    <w:abstractNumId w:val="1"/>
  </w:num>
  <w:num w:numId="24">
    <w:abstractNumId w:val="0"/>
  </w:num>
  <w:num w:numId="25">
    <w:abstractNumId w:val="2"/>
  </w:num>
  <w:num w:numId="26">
    <w:abstractNumId w:val="1"/>
  </w:num>
  <w:num w:numId="27">
    <w:abstractNumId w:val="0"/>
  </w:num>
  <w:num w:numId="28">
    <w:abstractNumId w:val="6"/>
  </w:num>
  <w:num w:numId="29">
    <w:abstractNumId w:val="8"/>
  </w:num>
  <w:num w:numId="30">
    <w:abstractNumId w:val="4"/>
  </w:num>
  <w:num w:numId="31">
    <w:abstractNumId w:val="7"/>
  </w:num>
  <w:num w:numId="32">
    <w:abstractNumId w:val="5"/>
  </w:num>
  <w:num w:numId="33">
    <w:abstractNumId w:val="3"/>
    <w:lvlOverride w:ilvl="0">
      <w:lvl w:ilvl="0">
        <w:start w:val="1"/>
        <w:numFmt w:val="bullet"/>
        <w:pStyle w:val="ListBullet"/>
        <w:lvlText w:val=""/>
        <w:legacy w:legacy="1" w:legacySpace="0" w:legacyIndent="283"/>
        <w:lvlJc w:val="left"/>
        <w:pPr>
          <w:ind w:left="283" w:hanging="283"/>
        </w:pPr>
        <w:rPr>
          <w:rFonts w:ascii="Wingdings" w:hAnsi="Wingdings" w:cs="Wingdings" w:hint="default"/>
          <w:sz w:val="20"/>
          <w:szCs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3FC4"/>
    <w:rsid w:val="000049ED"/>
    <w:rsid w:val="00020903"/>
    <w:rsid w:val="0006104D"/>
    <w:rsid w:val="0007053C"/>
    <w:rsid w:val="00087CB6"/>
    <w:rsid w:val="000A077E"/>
    <w:rsid w:val="000C2EFC"/>
    <w:rsid w:val="0010543C"/>
    <w:rsid w:val="00117D26"/>
    <w:rsid w:val="0013190D"/>
    <w:rsid w:val="00137B1A"/>
    <w:rsid w:val="001469ED"/>
    <w:rsid w:val="00151351"/>
    <w:rsid w:val="00153E1C"/>
    <w:rsid w:val="00160A31"/>
    <w:rsid w:val="001709D7"/>
    <w:rsid w:val="0019365A"/>
    <w:rsid w:val="00195AEB"/>
    <w:rsid w:val="001A0086"/>
    <w:rsid w:val="001B3BD3"/>
    <w:rsid w:val="001C3C13"/>
    <w:rsid w:val="001C4C82"/>
    <w:rsid w:val="001C7B4C"/>
    <w:rsid w:val="001E2139"/>
    <w:rsid w:val="001F3FA1"/>
    <w:rsid w:val="00233D1D"/>
    <w:rsid w:val="0024145D"/>
    <w:rsid w:val="00247CD7"/>
    <w:rsid w:val="00256907"/>
    <w:rsid w:val="00267DDF"/>
    <w:rsid w:val="00283975"/>
    <w:rsid w:val="002938D6"/>
    <w:rsid w:val="002A1619"/>
    <w:rsid w:val="002A2EEC"/>
    <w:rsid w:val="002B112A"/>
    <w:rsid w:val="002B1F4D"/>
    <w:rsid w:val="002C60B8"/>
    <w:rsid w:val="002E53FE"/>
    <w:rsid w:val="00300AE3"/>
    <w:rsid w:val="0030192B"/>
    <w:rsid w:val="00301E3A"/>
    <w:rsid w:val="003065A8"/>
    <w:rsid w:val="0031560D"/>
    <w:rsid w:val="00325C8E"/>
    <w:rsid w:val="003361A4"/>
    <w:rsid w:val="00350232"/>
    <w:rsid w:val="0036224E"/>
    <w:rsid w:val="003727EF"/>
    <w:rsid w:val="003841BD"/>
    <w:rsid w:val="00387C05"/>
    <w:rsid w:val="00392457"/>
    <w:rsid w:val="003B4D47"/>
    <w:rsid w:val="003B7CF0"/>
    <w:rsid w:val="003C2E2E"/>
    <w:rsid w:val="003D1332"/>
    <w:rsid w:val="003E55FA"/>
    <w:rsid w:val="003E582F"/>
    <w:rsid w:val="003E7259"/>
    <w:rsid w:val="00402A47"/>
    <w:rsid w:val="00403F73"/>
    <w:rsid w:val="00455952"/>
    <w:rsid w:val="004628F3"/>
    <w:rsid w:val="00465C22"/>
    <w:rsid w:val="00482BDD"/>
    <w:rsid w:val="00484C4E"/>
    <w:rsid w:val="00486EAD"/>
    <w:rsid w:val="00497EB0"/>
    <w:rsid w:val="004B2164"/>
    <w:rsid w:val="004C6BEA"/>
    <w:rsid w:val="004E160A"/>
    <w:rsid w:val="004F1A4A"/>
    <w:rsid w:val="004F1C1E"/>
    <w:rsid w:val="0050318C"/>
    <w:rsid w:val="005277DE"/>
    <w:rsid w:val="00527E3A"/>
    <w:rsid w:val="0053507C"/>
    <w:rsid w:val="00550EA6"/>
    <w:rsid w:val="005842CA"/>
    <w:rsid w:val="005A333F"/>
    <w:rsid w:val="005B2D07"/>
    <w:rsid w:val="005C1C57"/>
    <w:rsid w:val="005E0480"/>
    <w:rsid w:val="005E65A1"/>
    <w:rsid w:val="005F0D32"/>
    <w:rsid w:val="00610DB7"/>
    <w:rsid w:val="00611A44"/>
    <w:rsid w:val="0061582A"/>
    <w:rsid w:val="00653BFB"/>
    <w:rsid w:val="00686911"/>
    <w:rsid w:val="006900BF"/>
    <w:rsid w:val="006A18BB"/>
    <w:rsid w:val="006A2E08"/>
    <w:rsid w:val="006E3D8A"/>
    <w:rsid w:val="006E638F"/>
    <w:rsid w:val="006F05AE"/>
    <w:rsid w:val="0073077E"/>
    <w:rsid w:val="00732EA4"/>
    <w:rsid w:val="00743E04"/>
    <w:rsid w:val="007453AF"/>
    <w:rsid w:val="007652C1"/>
    <w:rsid w:val="00772018"/>
    <w:rsid w:val="007C3800"/>
    <w:rsid w:val="007E6D41"/>
    <w:rsid w:val="007E712C"/>
    <w:rsid w:val="007F154A"/>
    <w:rsid w:val="008003AA"/>
    <w:rsid w:val="00810EDD"/>
    <w:rsid w:val="008121E3"/>
    <w:rsid w:val="0081294C"/>
    <w:rsid w:val="00836808"/>
    <w:rsid w:val="008427DC"/>
    <w:rsid w:val="008446E0"/>
    <w:rsid w:val="00876582"/>
    <w:rsid w:val="00881818"/>
    <w:rsid w:val="008B0099"/>
    <w:rsid w:val="008E0567"/>
    <w:rsid w:val="008E33BB"/>
    <w:rsid w:val="008E4561"/>
    <w:rsid w:val="008E6753"/>
    <w:rsid w:val="008F49D3"/>
    <w:rsid w:val="00903C69"/>
    <w:rsid w:val="009212E6"/>
    <w:rsid w:val="00936D8F"/>
    <w:rsid w:val="009A5872"/>
    <w:rsid w:val="009B67D6"/>
    <w:rsid w:val="009E27A0"/>
    <w:rsid w:val="009F71CE"/>
    <w:rsid w:val="00A00C7C"/>
    <w:rsid w:val="00A4035C"/>
    <w:rsid w:val="00A54562"/>
    <w:rsid w:val="00A8519B"/>
    <w:rsid w:val="00A85305"/>
    <w:rsid w:val="00A90299"/>
    <w:rsid w:val="00AD70CB"/>
    <w:rsid w:val="00AE50B1"/>
    <w:rsid w:val="00B0263A"/>
    <w:rsid w:val="00B17205"/>
    <w:rsid w:val="00B235CD"/>
    <w:rsid w:val="00B50E2F"/>
    <w:rsid w:val="00B60FCD"/>
    <w:rsid w:val="00B93ED4"/>
    <w:rsid w:val="00BA0EBC"/>
    <w:rsid w:val="00BA6BEE"/>
    <w:rsid w:val="00BD2170"/>
    <w:rsid w:val="00BD2D85"/>
    <w:rsid w:val="00BF2786"/>
    <w:rsid w:val="00C12250"/>
    <w:rsid w:val="00C13092"/>
    <w:rsid w:val="00C24B7A"/>
    <w:rsid w:val="00C32EEA"/>
    <w:rsid w:val="00C43FC4"/>
    <w:rsid w:val="00C54D8B"/>
    <w:rsid w:val="00C6291D"/>
    <w:rsid w:val="00C734AD"/>
    <w:rsid w:val="00C81716"/>
    <w:rsid w:val="00C87018"/>
    <w:rsid w:val="00C96394"/>
    <w:rsid w:val="00C97A8C"/>
    <w:rsid w:val="00CA3929"/>
    <w:rsid w:val="00CB097D"/>
    <w:rsid w:val="00CB1C17"/>
    <w:rsid w:val="00CB2C2F"/>
    <w:rsid w:val="00CB307F"/>
    <w:rsid w:val="00CE3441"/>
    <w:rsid w:val="00D257C0"/>
    <w:rsid w:val="00D364F4"/>
    <w:rsid w:val="00D43C77"/>
    <w:rsid w:val="00D44CD6"/>
    <w:rsid w:val="00D46472"/>
    <w:rsid w:val="00D549D6"/>
    <w:rsid w:val="00D55C55"/>
    <w:rsid w:val="00D56ECC"/>
    <w:rsid w:val="00D65AEC"/>
    <w:rsid w:val="00D85605"/>
    <w:rsid w:val="00DA2895"/>
    <w:rsid w:val="00DA2A1E"/>
    <w:rsid w:val="00DB2D0C"/>
    <w:rsid w:val="00DB47C2"/>
    <w:rsid w:val="00DC5288"/>
    <w:rsid w:val="00E02FFC"/>
    <w:rsid w:val="00E11066"/>
    <w:rsid w:val="00E173D3"/>
    <w:rsid w:val="00E41BA9"/>
    <w:rsid w:val="00EA11FB"/>
    <w:rsid w:val="00EA7FDE"/>
    <w:rsid w:val="00EC60AA"/>
    <w:rsid w:val="00EE6E80"/>
    <w:rsid w:val="00F01C18"/>
    <w:rsid w:val="00F032F7"/>
    <w:rsid w:val="00F101EA"/>
    <w:rsid w:val="00F146C1"/>
    <w:rsid w:val="00F23AF4"/>
    <w:rsid w:val="00F2430C"/>
    <w:rsid w:val="00F303E2"/>
    <w:rsid w:val="00FC5544"/>
    <w:rsid w:val="00FD5135"/>
    <w:rsid w:val="00FD6577"/>
    <w:rsid w:val="00FD75CF"/>
    <w:rsid w:val="00FE01CB"/>
    <w:rsid w:val="00FE1D3D"/>
    <w:rsid w:val="00FE34E4"/>
    <w:rsid w:val="00FE4982"/>
    <w:rsid w:val="00FF7F4C"/>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43FC4"/>
    <w:rPr>
      <w:rFonts w:ascii="Arial" w:eastAsia="Times New Roman" w:hAnsi="Arial" w:cs="Arial"/>
      <w:sz w:val="24"/>
      <w:szCs w:val="24"/>
    </w:rPr>
  </w:style>
  <w:style w:type="paragraph" w:styleId="Heading1">
    <w:name w:val="heading 1"/>
    <w:basedOn w:val="Normal"/>
    <w:next w:val="Normal"/>
    <w:link w:val="Heading1Char"/>
    <w:uiPriority w:val="99"/>
    <w:qFormat/>
    <w:rsid w:val="00CB2C2F"/>
    <w:pPr>
      <w:keepNext/>
      <w:pageBreakBefore/>
      <w:numPr>
        <w:numId w:val="32"/>
      </w:numPr>
      <w:pBdr>
        <w:top w:val="single" w:sz="6" w:space="1" w:color="auto"/>
      </w:pBdr>
      <w:spacing w:after="360"/>
      <w:outlineLvl w:val="0"/>
    </w:pPr>
    <w:rPr>
      <w:b/>
      <w:bCs/>
      <w:kern w:val="28"/>
      <w:sz w:val="32"/>
      <w:szCs w:val="32"/>
    </w:rPr>
  </w:style>
  <w:style w:type="paragraph" w:styleId="Heading2">
    <w:name w:val="heading 2"/>
    <w:basedOn w:val="Normal"/>
    <w:next w:val="Normal"/>
    <w:link w:val="Heading2Char"/>
    <w:uiPriority w:val="99"/>
    <w:qFormat/>
    <w:rsid w:val="00CB2C2F"/>
    <w:pPr>
      <w:keepNext/>
      <w:numPr>
        <w:ilvl w:val="1"/>
        <w:numId w:val="32"/>
      </w:numPr>
      <w:pBdr>
        <w:top w:val="single" w:sz="6" w:space="2" w:color="auto"/>
      </w:pBdr>
      <w:tabs>
        <w:tab w:val="num" w:pos="709"/>
      </w:tabs>
      <w:spacing w:before="360" w:after="140"/>
      <w:ind w:left="851" w:hanging="851"/>
      <w:outlineLvl w:val="1"/>
    </w:pPr>
    <w:rPr>
      <w:b/>
      <w:bCs/>
      <w:sz w:val="28"/>
      <w:szCs w:val="28"/>
    </w:rPr>
  </w:style>
  <w:style w:type="paragraph" w:styleId="Heading3">
    <w:name w:val="heading 3"/>
    <w:basedOn w:val="Normal"/>
    <w:next w:val="Normal"/>
    <w:link w:val="Heading3Char"/>
    <w:uiPriority w:val="99"/>
    <w:qFormat/>
    <w:rsid w:val="00CB2C2F"/>
    <w:pPr>
      <w:keepNext/>
      <w:numPr>
        <w:ilvl w:val="2"/>
        <w:numId w:val="32"/>
      </w:numPr>
      <w:tabs>
        <w:tab w:val="num" w:pos="993"/>
      </w:tabs>
      <w:spacing w:before="220" w:after="80"/>
      <w:ind w:left="993" w:hanging="993"/>
      <w:outlineLvl w:val="2"/>
    </w:pPr>
    <w:rPr>
      <w:b/>
      <w:bCs/>
    </w:rPr>
  </w:style>
  <w:style w:type="paragraph" w:styleId="Heading4">
    <w:name w:val="heading 4"/>
    <w:basedOn w:val="Normal"/>
    <w:next w:val="Normal"/>
    <w:link w:val="Heading4Char"/>
    <w:uiPriority w:val="99"/>
    <w:qFormat/>
    <w:rsid w:val="00CB2C2F"/>
    <w:pPr>
      <w:keepNext/>
      <w:numPr>
        <w:ilvl w:val="3"/>
        <w:numId w:val="32"/>
      </w:numPr>
      <w:tabs>
        <w:tab w:val="clear" w:pos="864"/>
      </w:tabs>
      <w:spacing w:before="140" w:after="80"/>
      <w:ind w:left="1418" w:hanging="1418"/>
      <w:outlineLvl w:val="3"/>
    </w:pPr>
  </w:style>
  <w:style w:type="paragraph" w:styleId="Heading5">
    <w:name w:val="heading 5"/>
    <w:basedOn w:val="Normal"/>
    <w:next w:val="Normal"/>
    <w:link w:val="Heading5Char"/>
    <w:uiPriority w:val="99"/>
    <w:qFormat/>
    <w:rsid w:val="00CB2C2F"/>
    <w:pPr>
      <w:numPr>
        <w:ilvl w:val="4"/>
        <w:numId w:val="32"/>
      </w:numPr>
      <w:spacing w:before="140"/>
      <w:outlineLvl w:val="4"/>
    </w:pPr>
    <w:rPr>
      <w:b/>
      <w:bCs/>
    </w:rPr>
  </w:style>
  <w:style w:type="paragraph" w:styleId="Heading6">
    <w:name w:val="heading 6"/>
    <w:basedOn w:val="Normal"/>
    <w:next w:val="Normal"/>
    <w:link w:val="Heading6Char"/>
    <w:uiPriority w:val="99"/>
    <w:qFormat/>
    <w:rsid w:val="00CB2C2F"/>
    <w:pPr>
      <w:numPr>
        <w:ilvl w:val="5"/>
        <w:numId w:val="32"/>
      </w:numPr>
      <w:spacing w:before="240"/>
      <w:outlineLvl w:val="5"/>
    </w:pPr>
    <w:rPr>
      <w:i/>
      <w:iCs/>
    </w:rPr>
  </w:style>
  <w:style w:type="paragraph" w:styleId="Heading7">
    <w:name w:val="heading 7"/>
    <w:basedOn w:val="Normal"/>
    <w:next w:val="Normal"/>
    <w:link w:val="Heading7Char"/>
    <w:uiPriority w:val="99"/>
    <w:qFormat/>
    <w:rsid w:val="00CB2C2F"/>
    <w:pPr>
      <w:numPr>
        <w:ilvl w:val="6"/>
        <w:numId w:val="32"/>
      </w:numPr>
      <w:spacing w:before="240"/>
      <w:outlineLvl w:val="6"/>
    </w:pPr>
    <w:rPr>
      <w:i/>
      <w:iCs/>
    </w:rPr>
  </w:style>
  <w:style w:type="paragraph" w:styleId="Heading8">
    <w:name w:val="heading 8"/>
    <w:basedOn w:val="Normal"/>
    <w:next w:val="Normal"/>
    <w:link w:val="Heading8Char"/>
    <w:uiPriority w:val="99"/>
    <w:qFormat/>
    <w:rsid w:val="00CB2C2F"/>
    <w:pPr>
      <w:numPr>
        <w:ilvl w:val="7"/>
        <w:numId w:val="32"/>
      </w:numPr>
      <w:spacing w:before="240"/>
      <w:outlineLvl w:val="7"/>
    </w:pPr>
    <w:rPr>
      <w:i/>
      <w:iCs/>
    </w:rPr>
  </w:style>
  <w:style w:type="paragraph" w:styleId="Heading9">
    <w:name w:val="heading 9"/>
    <w:basedOn w:val="Normal"/>
    <w:next w:val="Normal"/>
    <w:link w:val="Heading9Char"/>
    <w:uiPriority w:val="99"/>
    <w:qFormat/>
    <w:rsid w:val="00CB2C2F"/>
    <w:pPr>
      <w:numPr>
        <w:ilvl w:val="8"/>
        <w:numId w:val="32"/>
      </w:numPr>
      <w:spacing w:before="240"/>
      <w:outlineLvl w:val="8"/>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B2C2F"/>
    <w:rPr>
      <w:rFonts w:ascii="Arial" w:eastAsia="Times New Roman" w:hAnsi="Arial" w:cs="Arial"/>
      <w:b/>
      <w:bCs/>
      <w:kern w:val="28"/>
      <w:sz w:val="32"/>
      <w:szCs w:val="32"/>
    </w:rPr>
  </w:style>
  <w:style w:type="character" w:customStyle="1" w:styleId="Heading2Char">
    <w:name w:val="Heading 2 Char"/>
    <w:basedOn w:val="DefaultParagraphFont"/>
    <w:link w:val="Heading2"/>
    <w:uiPriority w:val="99"/>
    <w:locked/>
    <w:rsid w:val="00CB2C2F"/>
    <w:rPr>
      <w:rFonts w:ascii="Arial" w:eastAsia="Times New Roman" w:hAnsi="Arial" w:cs="Arial"/>
      <w:b/>
      <w:bCs/>
      <w:sz w:val="28"/>
      <w:szCs w:val="28"/>
    </w:rPr>
  </w:style>
  <w:style w:type="character" w:customStyle="1" w:styleId="Heading3Char">
    <w:name w:val="Heading 3 Char"/>
    <w:basedOn w:val="DefaultParagraphFont"/>
    <w:link w:val="Heading3"/>
    <w:uiPriority w:val="99"/>
    <w:locked/>
    <w:rsid w:val="00CB2C2F"/>
    <w:rPr>
      <w:rFonts w:ascii="Arial" w:eastAsia="Times New Roman" w:hAnsi="Arial" w:cs="Arial"/>
      <w:b/>
      <w:bCs/>
      <w:sz w:val="24"/>
      <w:szCs w:val="24"/>
    </w:rPr>
  </w:style>
  <w:style w:type="character" w:customStyle="1" w:styleId="Heading4Char">
    <w:name w:val="Heading 4 Char"/>
    <w:basedOn w:val="DefaultParagraphFont"/>
    <w:link w:val="Heading4"/>
    <w:uiPriority w:val="99"/>
    <w:locked/>
    <w:rsid w:val="00CB2C2F"/>
    <w:rPr>
      <w:rFonts w:ascii="Arial" w:eastAsia="Times New Roman" w:hAnsi="Arial" w:cs="Arial"/>
      <w:sz w:val="24"/>
      <w:szCs w:val="24"/>
    </w:rPr>
  </w:style>
  <w:style w:type="character" w:customStyle="1" w:styleId="Heading5Char">
    <w:name w:val="Heading 5 Char"/>
    <w:basedOn w:val="DefaultParagraphFont"/>
    <w:link w:val="Heading5"/>
    <w:uiPriority w:val="99"/>
    <w:locked/>
    <w:rsid w:val="00CB2C2F"/>
    <w:rPr>
      <w:rFonts w:ascii="Arial" w:eastAsia="Times New Roman" w:hAnsi="Arial" w:cs="Arial"/>
      <w:b/>
      <w:bCs/>
      <w:sz w:val="24"/>
      <w:szCs w:val="24"/>
    </w:rPr>
  </w:style>
  <w:style w:type="character" w:customStyle="1" w:styleId="Heading6Char">
    <w:name w:val="Heading 6 Char"/>
    <w:basedOn w:val="DefaultParagraphFont"/>
    <w:link w:val="Heading6"/>
    <w:uiPriority w:val="99"/>
    <w:locked/>
    <w:rsid w:val="00CB2C2F"/>
    <w:rPr>
      <w:rFonts w:ascii="Arial" w:eastAsia="Times New Roman" w:hAnsi="Arial" w:cs="Arial"/>
      <w:i/>
      <w:iCs/>
      <w:sz w:val="24"/>
      <w:szCs w:val="24"/>
    </w:rPr>
  </w:style>
  <w:style w:type="character" w:customStyle="1" w:styleId="Heading7Char">
    <w:name w:val="Heading 7 Char"/>
    <w:basedOn w:val="DefaultParagraphFont"/>
    <w:link w:val="Heading7"/>
    <w:uiPriority w:val="99"/>
    <w:locked/>
    <w:rsid w:val="00CB2C2F"/>
    <w:rPr>
      <w:rFonts w:ascii="Arial" w:eastAsia="Times New Roman" w:hAnsi="Arial" w:cs="Arial"/>
      <w:i/>
      <w:iCs/>
      <w:sz w:val="24"/>
      <w:szCs w:val="24"/>
    </w:rPr>
  </w:style>
  <w:style w:type="character" w:customStyle="1" w:styleId="Heading8Char">
    <w:name w:val="Heading 8 Char"/>
    <w:basedOn w:val="DefaultParagraphFont"/>
    <w:link w:val="Heading8"/>
    <w:uiPriority w:val="99"/>
    <w:locked/>
    <w:rsid w:val="00CB2C2F"/>
    <w:rPr>
      <w:rFonts w:ascii="Arial" w:eastAsia="Times New Roman" w:hAnsi="Arial" w:cs="Arial"/>
      <w:i/>
      <w:iCs/>
      <w:sz w:val="24"/>
      <w:szCs w:val="24"/>
    </w:rPr>
  </w:style>
  <w:style w:type="character" w:customStyle="1" w:styleId="Heading9Char">
    <w:name w:val="Heading 9 Char"/>
    <w:basedOn w:val="DefaultParagraphFont"/>
    <w:link w:val="Heading9"/>
    <w:uiPriority w:val="99"/>
    <w:locked/>
    <w:rsid w:val="00CB2C2F"/>
    <w:rPr>
      <w:rFonts w:ascii="Arial" w:eastAsia="Times New Roman" w:hAnsi="Arial" w:cs="Arial"/>
      <w:i/>
      <w:iCs/>
      <w:sz w:val="24"/>
      <w:szCs w:val="24"/>
    </w:rPr>
  </w:style>
  <w:style w:type="paragraph" w:styleId="Header">
    <w:name w:val="header"/>
    <w:basedOn w:val="Normal"/>
    <w:link w:val="HeaderChar"/>
    <w:uiPriority w:val="99"/>
    <w:rsid w:val="00C43FC4"/>
    <w:pPr>
      <w:tabs>
        <w:tab w:val="center" w:pos="4153"/>
        <w:tab w:val="right" w:pos="8306"/>
      </w:tabs>
    </w:pPr>
  </w:style>
  <w:style w:type="character" w:customStyle="1" w:styleId="HeaderChar">
    <w:name w:val="Header Char"/>
    <w:basedOn w:val="DefaultParagraphFont"/>
    <w:link w:val="Header"/>
    <w:uiPriority w:val="99"/>
    <w:locked/>
    <w:rsid w:val="00C43FC4"/>
    <w:rPr>
      <w:rFonts w:ascii="Arial" w:hAnsi="Arial" w:cs="Arial"/>
      <w:sz w:val="20"/>
      <w:szCs w:val="20"/>
      <w:lang w:eastAsia="en-GB"/>
    </w:rPr>
  </w:style>
  <w:style w:type="paragraph" w:styleId="Footer">
    <w:name w:val="footer"/>
    <w:basedOn w:val="Normal"/>
    <w:link w:val="FooterChar"/>
    <w:uiPriority w:val="99"/>
    <w:rsid w:val="00C43FC4"/>
    <w:pPr>
      <w:tabs>
        <w:tab w:val="center" w:pos="4153"/>
        <w:tab w:val="right" w:pos="8306"/>
      </w:tabs>
    </w:pPr>
  </w:style>
  <w:style w:type="character" w:customStyle="1" w:styleId="FooterChar">
    <w:name w:val="Footer Char"/>
    <w:basedOn w:val="DefaultParagraphFont"/>
    <w:link w:val="Footer"/>
    <w:uiPriority w:val="99"/>
    <w:locked/>
    <w:rsid w:val="00C43FC4"/>
    <w:rPr>
      <w:rFonts w:ascii="Arial" w:hAnsi="Arial" w:cs="Arial"/>
      <w:sz w:val="20"/>
      <w:szCs w:val="20"/>
      <w:lang w:eastAsia="en-GB"/>
    </w:rPr>
  </w:style>
  <w:style w:type="character" w:styleId="CommentReference">
    <w:name w:val="annotation reference"/>
    <w:basedOn w:val="DefaultParagraphFont"/>
    <w:uiPriority w:val="99"/>
    <w:semiHidden/>
    <w:rsid w:val="00C43FC4"/>
    <w:rPr>
      <w:sz w:val="16"/>
      <w:szCs w:val="16"/>
    </w:rPr>
  </w:style>
  <w:style w:type="paragraph" w:styleId="CommentText">
    <w:name w:val="annotation text"/>
    <w:basedOn w:val="Normal"/>
    <w:link w:val="CommentTextChar"/>
    <w:uiPriority w:val="99"/>
    <w:semiHidden/>
    <w:rsid w:val="00C43FC4"/>
    <w:rPr>
      <w:sz w:val="20"/>
      <w:szCs w:val="20"/>
    </w:rPr>
  </w:style>
  <w:style w:type="character" w:customStyle="1" w:styleId="CommentTextChar">
    <w:name w:val="Comment Text Char"/>
    <w:basedOn w:val="DefaultParagraphFont"/>
    <w:link w:val="CommentText"/>
    <w:uiPriority w:val="99"/>
    <w:locked/>
    <w:rsid w:val="00C43FC4"/>
    <w:rPr>
      <w:rFonts w:ascii="Arial" w:hAnsi="Arial" w:cs="Arial"/>
      <w:sz w:val="20"/>
      <w:szCs w:val="20"/>
      <w:lang w:eastAsia="en-GB"/>
    </w:rPr>
  </w:style>
  <w:style w:type="paragraph" w:styleId="ListParagraph">
    <w:name w:val="List Paragraph"/>
    <w:basedOn w:val="Normal"/>
    <w:uiPriority w:val="99"/>
    <w:qFormat/>
    <w:rsid w:val="00C43FC4"/>
    <w:pPr>
      <w:ind w:left="720"/>
    </w:pPr>
  </w:style>
  <w:style w:type="paragraph" w:styleId="BalloonText">
    <w:name w:val="Balloon Text"/>
    <w:basedOn w:val="Normal"/>
    <w:link w:val="BalloonTextChar"/>
    <w:uiPriority w:val="99"/>
    <w:semiHidden/>
    <w:rsid w:val="00C43FC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3FC4"/>
    <w:rPr>
      <w:rFonts w:ascii="Tahoma" w:hAnsi="Tahoma" w:cs="Tahoma"/>
      <w:sz w:val="16"/>
      <w:szCs w:val="16"/>
      <w:lang w:eastAsia="en-GB"/>
    </w:rPr>
  </w:style>
  <w:style w:type="table" w:styleId="TableGrid">
    <w:name w:val="Table Grid"/>
    <w:basedOn w:val="TableNormal"/>
    <w:uiPriority w:val="99"/>
    <w:rsid w:val="00A90299"/>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rsid w:val="001C7B4C"/>
    <w:rPr>
      <w:b/>
      <w:bCs/>
    </w:rPr>
  </w:style>
  <w:style w:type="character" w:customStyle="1" w:styleId="CommentSubjectChar">
    <w:name w:val="Comment Subject Char"/>
    <w:basedOn w:val="CommentTextChar"/>
    <w:link w:val="CommentSubject"/>
    <w:uiPriority w:val="99"/>
    <w:locked/>
    <w:rsid w:val="001C7B4C"/>
    <w:rPr>
      <w:b/>
      <w:bCs/>
    </w:rPr>
  </w:style>
  <w:style w:type="paragraph" w:styleId="BodyText">
    <w:name w:val="Body Text"/>
    <w:basedOn w:val="Normal"/>
    <w:link w:val="BodyTextChar"/>
    <w:uiPriority w:val="99"/>
    <w:rsid w:val="00CB2C2F"/>
    <w:pPr>
      <w:numPr>
        <w:numId w:val="31"/>
      </w:numPr>
      <w:tabs>
        <w:tab w:val="clear" w:pos="720"/>
        <w:tab w:val="left" w:pos="2410"/>
        <w:tab w:val="left" w:pos="2880"/>
        <w:tab w:val="left" w:pos="3600"/>
        <w:tab w:val="left" w:pos="4320"/>
        <w:tab w:val="left" w:pos="5040"/>
        <w:tab w:val="left" w:pos="5760"/>
        <w:tab w:val="left" w:pos="6480"/>
        <w:tab w:val="left" w:pos="7200"/>
        <w:tab w:val="left" w:pos="7920"/>
        <w:tab w:val="left" w:pos="8640"/>
        <w:tab w:val="left" w:pos="9360"/>
      </w:tabs>
      <w:spacing w:after="120"/>
      <w:ind w:left="2410" w:hanging="567"/>
    </w:pPr>
  </w:style>
  <w:style w:type="character" w:customStyle="1" w:styleId="BodyTextChar">
    <w:name w:val="Body Text Char"/>
    <w:basedOn w:val="DefaultParagraphFont"/>
    <w:link w:val="BodyText"/>
    <w:uiPriority w:val="99"/>
    <w:locked/>
    <w:rsid w:val="00CB2C2F"/>
    <w:rPr>
      <w:rFonts w:ascii="Arial" w:eastAsia="Times New Roman" w:hAnsi="Arial" w:cs="Arial"/>
      <w:sz w:val="24"/>
      <w:szCs w:val="24"/>
    </w:rPr>
  </w:style>
  <w:style w:type="paragraph" w:customStyle="1" w:styleId="CcList">
    <w:name w:val="Cc List"/>
    <w:basedOn w:val="Normal"/>
    <w:uiPriority w:val="99"/>
    <w:rsid w:val="00CB2C2F"/>
  </w:style>
  <w:style w:type="paragraph" w:styleId="MessageHeader">
    <w:name w:val="Message Header"/>
    <w:basedOn w:val="Normal"/>
    <w:link w:val="MessageHeaderChar"/>
    <w:uiPriority w:val="99"/>
    <w:rsid w:val="00CB2C2F"/>
    <w:pPr>
      <w:ind w:left="1134" w:hanging="1134"/>
    </w:pPr>
  </w:style>
  <w:style w:type="character" w:customStyle="1" w:styleId="MessageHeaderChar">
    <w:name w:val="Message Header Char"/>
    <w:basedOn w:val="DefaultParagraphFont"/>
    <w:link w:val="MessageHeader"/>
    <w:uiPriority w:val="99"/>
    <w:locked/>
    <w:rsid w:val="00CB2C2F"/>
    <w:rPr>
      <w:rFonts w:ascii="Arial" w:hAnsi="Arial" w:cs="Arial"/>
      <w:sz w:val="24"/>
      <w:szCs w:val="24"/>
    </w:rPr>
  </w:style>
  <w:style w:type="character" w:styleId="PageNumber">
    <w:name w:val="page number"/>
    <w:basedOn w:val="DefaultParagraphFont"/>
    <w:uiPriority w:val="99"/>
    <w:rsid w:val="00CB2C2F"/>
    <w:rPr>
      <w:rFonts w:cs="Times New Roman"/>
    </w:rPr>
  </w:style>
  <w:style w:type="paragraph" w:styleId="ListBullet">
    <w:name w:val="List Bullet"/>
    <w:basedOn w:val="Normal"/>
    <w:autoRedefine/>
    <w:uiPriority w:val="99"/>
    <w:rsid w:val="00CB2C2F"/>
    <w:pPr>
      <w:numPr>
        <w:numId w:val="33"/>
      </w:numPr>
      <w:ind w:left="1560" w:hanging="567"/>
    </w:pPr>
  </w:style>
  <w:style w:type="paragraph" w:styleId="ListNumber">
    <w:name w:val="List Number"/>
    <w:basedOn w:val="Normal"/>
    <w:uiPriority w:val="99"/>
    <w:rsid w:val="00CB2C2F"/>
    <w:pPr>
      <w:ind w:left="283" w:hanging="283"/>
    </w:pPr>
  </w:style>
  <w:style w:type="paragraph" w:styleId="ListNumber2">
    <w:name w:val="List Number 2"/>
    <w:basedOn w:val="Normal"/>
    <w:uiPriority w:val="99"/>
    <w:rsid w:val="00CB2C2F"/>
    <w:pPr>
      <w:ind w:left="566" w:hanging="283"/>
    </w:pPr>
  </w:style>
  <w:style w:type="paragraph" w:customStyle="1" w:styleId="BlueComment">
    <w:name w:val="Blue Comment"/>
    <w:basedOn w:val="Normal"/>
    <w:uiPriority w:val="99"/>
    <w:rsid w:val="00CB2C2F"/>
    <w:rPr>
      <w:i/>
      <w:iCs/>
      <w:color w:val="0000FF"/>
    </w:rPr>
  </w:style>
  <w:style w:type="paragraph" w:customStyle="1" w:styleId="BodySingle">
    <w:name w:val="Body Single"/>
    <w:uiPriority w:val="99"/>
    <w:rsid w:val="00CB2C2F"/>
    <w:pPr>
      <w:widowControl w:val="0"/>
      <w:tabs>
        <w:tab w:val="left" w:pos="375"/>
        <w:tab w:val="left" w:pos="735"/>
        <w:tab w:val="left" w:pos="1080"/>
        <w:tab w:val="left" w:pos="1425"/>
        <w:tab w:val="left" w:pos="1800"/>
        <w:tab w:val="left" w:pos="2160"/>
        <w:tab w:val="left" w:pos="2520"/>
        <w:tab w:val="left" w:pos="2880"/>
      </w:tabs>
      <w:autoSpaceDE w:val="0"/>
      <w:autoSpaceDN w:val="0"/>
    </w:pPr>
    <w:rPr>
      <w:rFonts w:ascii="Times New Roman" w:eastAsia="Times New Roman" w:hAnsi="Times New Roman"/>
      <w:i/>
      <w:iCs/>
      <w:color w:val="0000FF"/>
      <w:sz w:val="20"/>
      <w:szCs w:val="20"/>
      <w:lang w:val="en-US" w:eastAsia="en-US"/>
    </w:rPr>
  </w:style>
  <w:style w:type="paragraph" w:customStyle="1" w:styleId="CentralHeading">
    <w:name w:val="Central Heading"/>
    <w:basedOn w:val="Header"/>
    <w:next w:val="BodyText"/>
    <w:uiPriority w:val="99"/>
    <w:rsid w:val="00CB2C2F"/>
    <w:pPr>
      <w:tabs>
        <w:tab w:val="clear" w:pos="4153"/>
        <w:tab w:val="clear" w:pos="8306"/>
        <w:tab w:val="center" w:pos="4320"/>
        <w:tab w:val="right" w:pos="8640"/>
      </w:tabs>
    </w:pPr>
  </w:style>
  <w:style w:type="paragraph" w:styleId="TOC2">
    <w:name w:val="toc 2"/>
    <w:basedOn w:val="Normal"/>
    <w:next w:val="Normal"/>
    <w:autoRedefine/>
    <w:uiPriority w:val="99"/>
    <w:semiHidden/>
    <w:rsid w:val="00CB2C2F"/>
    <w:pPr>
      <w:tabs>
        <w:tab w:val="left" w:pos="426"/>
        <w:tab w:val="right" w:leader="dot" w:pos="9515"/>
      </w:tabs>
    </w:pPr>
  </w:style>
  <w:style w:type="paragraph" w:styleId="TOC1">
    <w:name w:val="toc 1"/>
    <w:basedOn w:val="Normal"/>
    <w:next w:val="Normal"/>
    <w:autoRedefine/>
    <w:uiPriority w:val="99"/>
    <w:semiHidden/>
    <w:rsid w:val="00CB2C2F"/>
  </w:style>
  <w:style w:type="character" w:styleId="Hyperlink">
    <w:name w:val="Hyperlink"/>
    <w:basedOn w:val="DefaultParagraphFont"/>
    <w:uiPriority w:val="99"/>
    <w:rsid w:val="00CB2C2F"/>
    <w:rPr>
      <w:rFonts w:cs="Times New Roman"/>
      <w:color w:val="0000FF"/>
      <w:u w:val="single"/>
    </w:rPr>
  </w:style>
  <w:style w:type="paragraph" w:customStyle="1" w:styleId="StyleBodyText">
    <w:name w:val="Style Body Text +"/>
    <w:basedOn w:val="BodyText"/>
    <w:link w:val="StyleBodyTextChar"/>
    <w:uiPriority w:val="99"/>
    <w:rsid w:val="00CB2C2F"/>
    <w:pPr>
      <w:numPr>
        <w:numId w:val="0"/>
      </w:numPr>
      <w:tabs>
        <w:tab w:val="num" w:pos="432"/>
      </w:tabs>
      <w:ind w:left="432" w:hanging="432"/>
    </w:pPr>
  </w:style>
  <w:style w:type="character" w:customStyle="1" w:styleId="StyleBodyTextChar">
    <w:name w:val="Style Body Text + Char"/>
    <w:basedOn w:val="BodyTextChar"/>
    <w:link w:val="StyleBodyText"/>
    <w:uiPriority w:val="99"/>
    <w:locked/>
    <w:rsid w:val="00CB2C2F"/>
  </w:style>
  <w:style w:type="paragraph" w:customStyle="1" w:styleId="StyleHeading3NotBold">
    <w:name w:val="Style Heading 3 + Not Bold"/>
    <w:basedOn w:val="Heading3"/>
    <w:uiPriority w:val="99"/>
    <w:rsid w:val="00CB2C2F"/>
    <w:pPr>
      <w:keepNext w:val="0"/>
    </w:pPr>
    <w:rPr>
      <w:b w:val="0"/>
      <w:bCs w:val="0"/>
    </w:rPr>
  </w:style>
  <w:style w:type="character" w:customStyle="1" w:styleId="DocumentMapChar">
    <w:name w:val="Document Map Char"/>
    <w:basedOn w:val="DefaultParagraphFont"/>
    <w:link w:val="DocumentMap"/>
    <w:uiPriority w:val="99"/>
    <w:semiHidden/>
    <w:locked/>
    <w:rsid w:val="00CB2C2F"/>
    <w:rPr>
      <w:rFonts w:ascii="Tahoma" w:hAnsi="Tahoma" w:cs="Tahoma"/>
      <w:shd w:val="clear" w:color="auto" w:fill="000080"/>
    </w:rPr>
  </w:style>
  <w:style w:type="paragraph" w:styleId="DocumentMap">
    <w:name w:val="Document Map"/>
    <w:basedOn w:val="Normal"/>
    <w:link w:val="DocumentMapChar"/>
    <w:uiPriority w:val="99"/>
    <w:semiHidden/>
    <w:rsid w:val="00CB2C2F"/>
    <w:pPr>
      <w:shd w:val="clear" w:color="auto" w:fill="000080"/>
    </w:pPr>
    <w:rPr>
      <w:rFonts w:ascii="Tahoma" w:hAnsi="Tahoma" w:cs="Tahoma"/>
      <w:sz w:val="20"/>
      <w:szCs w:val="20"/>
    </w:rPr>
  </w:style>
  <w:style w:type="character" w:customStyle="1" w:styleId="DocumentMapChar1">
    <w:name w:val="Document Map Char1"/>
    <w:basedOn w:val="DefaultParagraphFont"/>
    <w:link w:val="DocumentMap"/>
    <w:uiPriority w:val="99"/>
    <w:semiHidden/>
    <w:locked/>
    <w:rsid w:val="009F71CE"/>
    <w:rPr>
      <w:rFonts w:ascii="Times New Roman" w:hAnsi="Times New Roman" w:cs="Times New Roman"/>
      <w:sz w:val="2"/>
      <w:szCs w:val="2"/>
    </w:rPr>
  </w:style>
  <w:style w:type="paragraph" w:styleId="NormalWeb">
    <w:name w:val="Normal (Web)"/>
    <w:basedOn w:val="Normal"/>
    <w:uiPriority w:val="99"/>
    <w:rsid w:val="00CB2C2F"/>
    <w:pPr>
      <w:spacing w:before="100" w:beforeAutospacing="1" w:after="100" w:afterAutospacing="1"/>
    </w:pPr>
    <w:rPr>
      <w:rFonts w:ascii="Times New Roman" w:hAnsi="Times New Roman" w:cs="Times New Roman"/>
    </w:rPr>
  </w:style>
  <w:style w:type="character" w:styleId="Strong">
    <w:name w:val="Strong"/>
    <w:basedOn w:val="DefaultParagraphFont"/>
    <w:uiPriority w:val="99"/>
    <w:qFormat/>
    <w:rsid w:val="00CB2C2F"/>
    <w:rPr>
      <w:rFonts w:cs="Times New Roman"/>
      <w:b/>
      <w:bCs/>
    </w:rPr>
  </w:style>
  <w:style w:type="paragraph" w:customStyle="1" w:styleId="Becta-BodyText">
    <w:name w:val="Becta - Body Text"/>
    <w:uiPriority w:val="99"/>
    <w:rsid w:val="00CB2C2F"/>
    <w:pPr>
      <w:keepLines/>
      <w:spacing w:line="250" w:lineRule="atLeast"/>
      <w:jc w:val="both"/>
    </w:pPr>
    <w:rPr>
      <w:rFonts w:ascii="Arial" w:eastAsia="Times New Roman" w:hAnsi="Arial" w:cs="Arial"/>
      <w:color w:val="000000"/>
      <w:sz w:val="20"/>
      <w:szCs w:val="20"/>
      <w:lang w:eastAsia="en-US"/>
    </w:rPr>
  </w:style>
  <w:style w:type="paragraph" w:customStyle="1" w:styleId="BCSParagraph">
    <w:name w:val="| BCS | Paragraph"/>
    <w:uiPriority w:val="99"/>
    <w:rsid w:val="00CB2C2F"/>
    <w:pPr>
      <w:overflowPunct w:val="0"/>
      <w:autoSpaceDE w:val="0"/>
      <w:autoSpaceDN w:val="0"/>
      <w:adjustRightInd w:val="0"/>
      <w:spacing w:after="240" w:line="300" w:lineRule="exact"/>
      <w:textAlignment w:val="baseline"/>
    </w:pPr>
    <w:rPr>
      <w:rFonts w:ascii="Arial" w:eastAsia="Times New Roman" w:hAnsi="Arial" w:cs="Arial"/>
      <w:color w:val="000000"/>
      <w:sz w:val="24"/>
      <w:szCs w:val="24"/>
    </w:rPr>
  </w:style>
  <w:style w:type="paragraph" w:customStyle="1" w:styleId="BCSBulletparagraph">
    <w:name w:val="| BCS | Bullet paragraph"/>
    <w:basedOn w:val="Normal"/>
    <w:uiPriority w:val="99"/>
    <w:rsid w:val="00CB2C2F"/>
    <w:pPr>
      <w:tabs>
        <w:tab w:val="left" w:pos="720"/>
        <w:tab w:val="left" w:pos="1077"/>
      </w:tabs>
      <w:overflowPunct w:val="0"/>
      <w:autoSpaceDE w:val="0"/>
      <w:autoSpaceDN w:val="0"/>
      <w:adjustRightInd w:val="0"/>
      <w:spacing w:after="40" w:line="300" w:lineRule="exact"/>
      <w:ind w:left="1077" w:hanging="357"/>
      <w:textAlignment w:val="baseline"/>
    </w:pPr>
  </w:style>
  <w:style w:type="paragraph" w:customStyle="1" w:styleId="BCSHeadingB">
    <w:name w:val="| BCS | Heading B"/>
    <w:basedOn w:val="Normal"/>
    <w:uiPriority w:val="99"/>
    <w:rsid w:val="00CB2C2F"/>
    <w:pPr>
      <w:overflowPunct w:val="0"/>
      <w:autoSpaceDE w:val="0"/>
      <w:autoSpaceDN w:val="0"/>
      <w:adjustRightInd w:val="0"/>
      <w:spacing w:after="200"/>
      <w:textAlignment w:val="baseline"/>
    </w:pPr>
    <w:rPr>
      <w:b/>
      <w:bCs/>
      <w:color w:val="000000"/>
      <w:sz w:val="26"/>
      <w:szCs w:val="26"/>
    </w:rPr>
  </w:style>
  <w:style w:type="paragraph" w:customStyle="1" w:styleId="BCSHeadingC">
    <w:name w:val="| BCS | Heading C"/>
    <w:basedOn w:val="BCSHeadingB"/>
    <w:uiPriority w:val="99"/>
    <w:rsid w:val="00CB2C2F"/>
    <w:rPr>
      <w:sz w:val="24"/>
      <w:szCs w:val="24"/>
    </w:rPr>
  </w:style>
  <w:style w:type="paragraph" w:customStyle="1" w:styleId="BCSBulletlast">
    <w:name w:val="| BCS | Bullet last"/>
    <w:basedOn w:val="BCSBulletparagraph"/>
    <w:uiPriority w:val="99"/>
    <w:rsid w:val="00CB2C2F"/>
    <w:pPr>
      <w:spacing w:after="240"/>
    </w:pPr>
  </w:style>
  <w:style w:type="character" w:styleId="FollowedHyperlink">
    <w:name w:val="FollowedHyperlink"/>
    <w:basedOn w:val="DefaultParagraphFont"/>
    <w:uiPriority w:val="99"/>
    <w:rsid w:val="00CB2C2F"/>
    <w:rPr>
      <w:rFonts w:cs="Times New Roman"/>
      <w:color w:val="800080"/>
      <w:u w:val="single"/>
    </w:rPr>
  </w:style>
  <w:style w:type="paragraph" w:styleId="NoSpacing">
    <w:name w:val="No Spacing"/>
    <w:uiPriority w:val="99"/>
    <w:qFormat/>
    <w:rsid w:val="00CB2C2F"/>
    <w:rPr>
      <w:rFonts w:cs="Calibri"/>
    </w:rPr>
  </w:style>
  <w:style w:type="paragraph" w:customStyle="1" w:styleId="Default">
    <w:name w:val="Default"/>
    <w:uiPriority w:val="99"/>
    <w:rsid w:val="00CB2C2F"/>
    <w:pPr>
      <w:autoSpaceDE w:val="0"/>
      <w:autoSpaceDN w:val="0"/>
      <w:adjustRightInd w:val="0"/>
    </w:pPr>
    <w:rPr>
      <w:rFonts w:ascii="Arial" w:eastAsia="Times New Roman" w:hAnsi="Arial" w:cs="Arial"/>
      <w:color w:val="000000"/>
      <w:sz w:val="24"/>
      <w:szCs w:val="24"/>
    </w:rPr>
  </w:style>
  <w:style w:type="paragraph" w:styleId="BodyText2">
    <w:name w:val="Body Text 2"/>
    <w:basedOn w:val="Normal"/>
    <w:link w:val="BodyText2Char"/>
    <w:uiPriority w:val="99"/>
    <w:rsid w:val="00CB2C2F"/>
    <w:pPr>
      <w:spacing w:after="120" w:line="480" w:lineRule="auto"/>
      <w:jc w:val="both"/>
    </w:pPr>
    <w:rPr>
      <w:rFonts w:ascii="Garamond" w:hAnsi="Garamond" w:cs="Garamond"/>
      <w:kern w:val="24"/>
      <w:lang w:eastAsia="en-US"/>
    </w:rPr>
  </w:style>
  <w:style w:type="character" w:customStyle="1" w:styleId="BodyText2Char">
    <w:name w:val="Body Text 2 Char"/>
    <w:basedOn w:val="DefaultParagraphFont"/>
    <w:link w:val="BodyText2"/>
    <w:uiPriority w:val="99"/>
    <w:locked/>
    <w:rsid w:val="00CB2C2F"/>
    <w:rPr>
      <w:rFonts w:ascii="Garamond" w:hAnsi="Garamond" w:cs="Garamond"/>
      <w:kern w:val="24"/>
      <w:sz w:val="24"/>
      <w:szCs w:val="24"/>
      <w:lang w:eastAsia="en-US"/>
    </w:rPr>
  </w:style>
  <w:style w:type="paragraph" w:styleId="BodyTextIndent">
    <w:name w:val="Body Text Indent"/>
    <w:basedOn w:val="Normal"/>
    <w:link w:val="BodyTextIndentChar"/>
    <w:uiPriority w:val="99"/>
    <w:rsid w:val="00CB2C2F"/>
    <w:pPr>
      <w:spacing w:after="120"/>
      <w:ind w:left="283"/>
      <w:jc w:val="both"/>
    </w:pPr>
    <w:rPr>
      <w:rFonts w:ascii="Garamond" w:hAnsi="Garamond" w:cs="Garamond"/>
      <w:kern w:val="24"/>
      <w:lang w:eastAsia="en-US"/>
    </w:rPr>
  </w:style>
  <w:style w:type="character" w:customStyle="1" w:styleId="BodyTextIndentChar">
    <w:name w:val="Body Text Indent Char"/>
    <w:basedOn w:val="DefaultParagraphFont"/>
    <w:link w:val="BodyTextIndent"/>
    <w:uiPriority w:val="99"/>
    <w:locked/>
    <w:rsid w:val="00CB2C2F"/>
    <w:rPr>
      <w:rFonts w:ascii="Garamond" w:hAnsi="Garamond" w:cs="Garamond"/>
      <w:kern w:val="24"/>
      <w:sz w:val="24"/>
      <w:szCs w:val="24"/>
      <w:lang w:eastAsia="en-US"/>
    </w:rPr>
  </w:style>
</w:styles>
</file>

<file path=word/webSettings.xml><?xml version="1.0" encoding="utf-8"?>
<w:webSettings xmlns:r="http://schemas.openxmlformats.org/officeDocument/2006/relationships" xmlns:w="http://schemas.openxmlformats.org/wordprocessingml/2006/main">
  <w:divs>
    <w:div w:id="1365668276">
      <w:marLeft w:val="0"/>
      <w:marRight w:val="0"/>
      <w:marTop w:val="0"/>
      <w:marBottom w:val="0"/>
      <w:divBdr>
        <w:top w:val="none" w:sz="0" w:space="0" w:color="auto"/>
        <w:left w:val="none" w:sz="0" w:space="0" w:color="auto"/>
        <w:bottom w:val="none" w:sz="0" w:space="0" w:color="auto"/>
        <w:right w:val="none" w:sz="0" w:space="0" w:color="auto"/>
      </w:divBdr>
    </w:div>
    <w:div w:id="1365668277">
      <w:marLeft w:val="0"/>
      <w:marRight w:val="0"/>
      <w:marTop w:val="0"/>
      <w:marBottom w:val="0"/>
      <w:divBdr>
        <w:top w:val="none" w:sz="0" w:space="0" w:color="auto"/>
        <w:left w:val="none" w:sz="0" w:space="0" w:color="auto"/>
        <w:bottom w:val="none" w:sz="0" w:space="0" w:color="auto"/>
        <w:right w:val="none" w:sz="0" w:space="0" w:color="auto"/>
      </w:divBdr>
    </w:div>
    <w:div w:id="1365668278">
      <w:marLeft w:val="0"/>
      <w:marRight w:val="0"/>
      <w:marTop w:val="0"/>
      <w:marBottom w:val="0"/>
      <w:divBdr>
        <w:top w:val="none" w:sz="0" w:space="0" w:color="auto"/>
        <w:left w:val="none" w:sz="0" w:space="0" w:color="auto"/>
        <w:bottom w:val="none" w:sz="0" w:space="0" w:color="auto"/>
        <w:right w:val="none" w:sz="0" w:space="0" w:color="auto"/>
      </w:divBdr>
    </w:div>
    <w:div w:id="1365668279">
      <w:marLeft w:val="0"/>
      <w:marRight w:val="0"/>
      <w:marTop w:val="0"/>
      <w:marBottom w:val="0"/>
      <w:divBdr>
        <w:top w:val="none" w:sz="0" w:space="0" w:color="auto"/>
        <w:left w:val="none" w:sz="0" w:space="0" w:color="auto"/>
        <w:bottom w:val="none" w:sz="0" w:space="0" w:color="auto"/>
        <w:right w:val="none" w:sz="0" w:space="0" w:color="auto"/>
      </w:divBdr>
    </w:div>
    <w:div w:id="13656682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1153</Words>
  <Characters>6034</Characters>
  <Application>Microsoft Office Outlook</Application>
  <DocSecurity>0</DocSecurity>
  <Lines>0</Lines>
  <Paragraphs>0</Paragraphs>
  <ScaleCrop>false</ScaleCrop>
  <Company>Telford &amp; Wrekin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Technical Strategy - Directors Paper</dc:subject>
  <dc:creator>Tom Greatorex</dc:creator>
  <cp:keywords>Directors Paper</cp:keywords>
  <dc:description/>
  <cp:lastModifiedBy>LEGANRO</cp:lastModifiedBy>
  <cp:revision>2</cp:revision>
  <cp:lastPrinted>2009-05-29T13:35:00Z</cp:lastPrinted>
  <dcterms:created xsi:type="dcterms:W3CDTF">2009-06-04T14:22:00Z</dcterms:created>
  <dcterms:modified xsi:type="dcterms:W3CDTF">2009-06-04T14:22:00Z</dcterms:modified>
</cp:coreProperties>
</file>